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</w:p>
    <w:p>
      <w:pPr>
        <w:spacing w:after="200"/>
      </w:pPr>
      <w:r>
        <w:rPr>
          <w:rFonts w:ascii="Calibri" w:cs="Calibri" w:eastAsia="Calibri" w:hAnsi="Calibri"/>
          <w:b/>
          <w:bCs/>
          <w:color w:val="2E75B6"/>
          <w:sz w:val="24"/>
          <w:szCs w:val="24"/>
        </w:rPr>
        <w:t xml:space="preserve">OKLEVELES KÖNYVVIZSGÁLÓI KÉPZÉS – A SZÁMVITEL NEMZETKÖZI SZABÁLYOZÁSA (IFRS)</w:t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F3864"/>
          <w:sz w:val="48"/>
          <w:szCs w:val="48"/>
        </w:rPr>
        <w:t xml:space="preserve">IFRS vizsgasor – 2023. november 15.</w:t>
      </w:r>
    </w:p>
    <w:p>
      <w:pPr>
        <w:pBdr>
          <w:bottom w:val="single" w:color="2E75B6" w:sz="12" w:space="8"/>
        </w:pBdr>
        <w:spacing w:after="600"/>
      </w:pPr>
      <w:r>
        <w:rPr>
          <w:rFonts w:ascii="Calibri" w:cs="Calibri" w:eastAsia="Calibri" w:hAnsi="Calibri"/>
          <w:color w:val="404040"/>
          <w:sz w:val="26"/>
          <w:szCs w:val="26"/>
        </w:rPr>
        <w:t xml:space="preserve">Teljes kidolgozás, a hivatalos megoldókulcs kritikai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34"/>
        <w:gridCol w:w="6804"/>
      </w:tblGrid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Vizsganap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2023. november 15. (Őszirózsa Nyrt., November Csoport, Haloween Nyrt., December Zrt., Újév Kft.)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 feladatlap standard-záradéka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„EU által befogadott és kihirdetett standardok" – dátum nélkül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Hivatalos megoldókulcs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Van – 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 érdemi hiba, 2 kisebb hiba, 11 vitatható pont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 kidolgozás referenciaéve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2027 – IFRS 18 (EU: (EU) 2026/338); a záradék miatt 2027-ben az IFRS 18 alkalmazandó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Standardállapot dátuma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2026. szeptember 23.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Átfedés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 2019.06.06-i vizsgasorral 67% (a két sort együtt érdemes gyakorolni)</w:t>
            </w:r>
          </w:p>
        </w:tc>
      </w:tr>
      <w:tr>
        <w:trPr>
          <w:tblHeader w:val="false"/>
        </w:trPr>
        <w:tc>
          <w:tcPr>
            <w:tcW w:type="dxa" w:w="283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Pénznem</w:t>
            </w:r>
          </w:p>
        </w:tc>
        <w:tc>
          <w:tcPr>
            <w:tcW w:type="dxa" w:w="68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MFt (1/A 7): EUR → MFt)</w:t>
            </w:r>
          </w:p>
        </w:tc>
      </w:tr>
    </w:tbl>
    <w:p>
      <w:r>
        <w:br w:type="page"/>
      </w:r>
    </w:p>
    <w:p>
      <w:pPr>
        <w:pStyle w:val="Heading1"/>
        <w:spacing w:after="160"/>
      </w:pPr>
      <w:r>
        <w:rPr>
          <w:rFonts w:ascii="Calibri" w:cs="Calibri" w:eastAsia="Calibri" w:hAnsi="Calibri"/>
        </w:rPr>
        <w:t xml:space="preserve">Tartalom</w:t>
      </w:r>
    </w:p>
    <w:sdt>
      <w:sdtPr>
        <w:alias w:val="Tartalomjegyzék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00" w:before="0"/>
        <w:jc w:val="left"/>
      </w:pPr>
      <w:r>
        <w:rPr>
          <w:rFonts w:ascii="Calibri" w:cs="Calibri" w:eastAsia="Calibri" w:hAnsi="Calibri"/>
          <w:i/>
          <w:iCs/>
        </w:rPr>
        <w:t xml:space="preserve">A tartalomjegyzék Wordben frissíthető: jobb klikk → Mező frissítése.</w:t>
      </w:r>
    </w:p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0. Vezetői összefoglaló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3706"/>
        <w:gridCol w:w="3212"/>
        <w:gridCol w:w="991"/>
      </w:tblGrid>
      <w:tr>
        <w:trPr>
          <w:tblHeader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Feladat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Téma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Fő standardok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Pont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 Őszirózsa Nyrt.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Egyedi mérleg véglegesítése 2022 – 7 esemény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9, IFRS 5, IAS 38, IFRS 15, IAS 37, IAS 40, IAS 21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 November Csoport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Konszolidált mérleg: leány 80% (év közbeni akvizíció, függő vételár, függő kötelezettség), társult 30%, közös megállapodás 50%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3, IFRS 10, IFRS 11, IAS 28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2/A Haloween Nyrt.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Halasztott adó – 9 tétel, áthozott veszteség, adókulcs-változás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12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2/B Haloween Nyrt.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Részvényalapú juttatás (tőkében rendezett)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2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3/A–C December Zrt.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Értékvesztés (egyedi eszköz, CGU goodwill-lal); időben teljesülő kivitelezés; lízing bérbevevőnél és bérbeadónál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36, IFRS 15, IFRS 16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 + 10 + 5</w:t>
            </w:r>
          </w:p>
        </w:tc>
      </w:tr>
      <w:tr>
        <w:trPr>
          <w:tblHeader w:val="false"/>
        </w:trPr>
        <w:tc>
          <w:tcPr>
            <w:tcW w:type="dxa" w:w="17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Újév Kft.</w:t>
            </w:r>
          </w:p>
        </w:tc>
        <w:tc>
          <w:tcPr>
            <w:tcW w:type="dxa" w:w="37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Első IFRS-alkalmazás (mentesítések nélkül): 8 nyitómérleg-korrekció, egyeztetések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1, IAS 38, IAS 32, IAS 37, IFRS 9, IFRIC 1, IAS 19, IFRS 15, IFRS 16</w:t>
            </w:r>
          </w:p>
        </w:tc>
        <w:tc>
          <w:tcPr>
            <w:tcW w:type="dxa" w:w="9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0.1 A megoldókulcs hibái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"/>
        <w:gridCol w:w="1686"/>
        <w:gridCol w:w="2409"/>
        <w:gridCol w:w="3975"/>
        <w:gridCol w:w="1207"/>
      </w:tblGrid>
      <w:tr>
        <w:trPr>
          <w:tblHeader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Feladat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 kulcs szerint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Helyesen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Súly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 peres ügy (függő kötelezettség)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Fordulónapon 100-ra csökkenti (+200 a leány nettó eszközében)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Az akvizícióban felvett függő kötelezettség a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magasabb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összegen marad: max(IAS 37 szerinti összeg = 0; 300) =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[IFRS 3.56]. ET 9 022 (kulcs 9 182), NCI 1 614 (1 654), kötelezettségek 43 251 (43 051)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érdemi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 5) szerkezetátalakítás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 + 10 = 40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kiürítés költsége (5) közvetlen, a folytatódó tevékenységhez nem kapcsolódó kiadás →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45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[IAS 37.80]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érdemi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3/B ajánlatkészítési díj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 „szerződéses eszköz", költségarányos amortizáció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szöveg szerint a díj a pályázaton való indulás miatt merült fel – a nyerestől függetlenül → ráfordítás [IFRS 15.93]. Ha aktiválható lenne, az sem „szerződéses eszköz", hanem a szerződés megszerzésének költségéből képzett eszköz [15.91, 95, 99]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érdemi (szövegszerűen)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3/C bérbeadó – karbantartás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Vevők – K Árbevétel 1,75 a kezdéskor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karbantartás az év során teljesülő szolgáltatás: a kezdéskor kapott 1,75 szerződéses kötelezettség, árbevétel időarányosan [IFRS 15.35, 106]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érdemi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4/8) bérelt iroda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PV = 151,16; könyvelés „75,816"; kamat 15,12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PV = 40 × 3,7908 =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151,63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; kamat 15,16; az áttérés napján a kötelezettség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126,80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, a használatijog-eszköz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121,31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, ET-hatás −5,49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számítási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 lefelé irányuló tárgyieszköz-eladás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realizált 1 MFt a leány nettó eszközében (NCI-t is érinti)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Lefelé irányuló ügyletnél a teljes nem realizált eredmény az anyát terheli (nettó −19) [IFRS 10.B86(c)]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kisebb</w:t>
            </w:r>
          </w:p>
        </w:tc>
      </w:tr>
      <w:tr>
        <w:trPr>
          <w:tblHeader w:val="false"/>
        </w:trPr>
        <w:tc>
          <w:tcPr>
            <w:tcW w:type="dxa" w:w="36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168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2/A táblázat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Bírság „20"; „200 − 182,12"</w:t>
            </w:r>
          </w:p>
        </w:tc>
        <w:tc>
          <w:tcPr>
            <w:tcW w:type="dxa" w:w="39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 (a feladatlap szerint); 200 − 186,12 = 13,88 (az eredmény helyes)</w:t>
            </w:r>
          </w:p>
        </w:tc>
        <w:tc>
          <w:tcPr>
            <w:tcW w:type="dxa" w:w="120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elírás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F06" w:sz="12"/>
              <w:left w:val="single" w:color="B45F06" w:sz="36"/>
              <w:bottom w:val="single" w:color="B45F06" w:sz="12"/>
              <w:right w:val="single" w:color="B45F06" w:sz="12"/>
            </w:tcBorders>
            <w:shd w:fill="FFF2C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45F06"/>
                <w:sz w:val="21"/>
                <w:szCs w:val="21"/>
              </w:rPr>
              <w:t xml:space="preserve">Vitatható pontok (◆) – a kulcs megoldása elfogadható, de másképp is védhető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1/A 1) A rövid lejáratú rész: kulcs 19,06 (= AC/9 év), a következő évi amortizáltbekerülésiérték-csökkenés 18,53, a névleges törlesztés 20. A kulcs módszere nem standard, de a különbség kicsi.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1/A 2) Értékesítésre tartás időpontja: 10.01-jén az eladás 15 hónapon belül várható (nem 12) – szigorúan a 12.31-i átsorolás a helyes (80), a kulcs 10.01-jével számol (82) [IFRS 5.8].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1/A 5) IFRS 16 alatt a bérelt épület használatijog-eszköz; a hátrányos szerződés helyett a ROU-eszköz értékvesztése lenne a helyes technika (az eredményhatás közel azonos).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1/A 7) Ha az eladás ellenértéke (92 000 €) euróban maradt, fordulónapi árfolyamveszteség 0,276 [IAS 21.23, 28].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1/A A technikai számla 11,4 MFt-os maradéka és a légkondicionálók ELÁBÉ-ja a feladatból nem vezethető le.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1/B Tavasz: közös tevékenység (kulcs) vs. közös vállalkozás – a „csoport tagjai számára" végzett szolgáltatás nem egyértelműen mindkét félnek szól [IFRS 11.B31–B32]. KV-ként a mérlegfőösszeg 65 487.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2/A Vevők adóértéke (a 75 behajthatatlan követelés kezelése), a 9% „ténylegesen elfogadott"-e [IAS 12.47–48], a hitel könyv szerinti értéke (1 200 vs. 1 192).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3/A b) A goodwill 50 = 810 − 760 (a mai nettó eszközökkel, nem az akvizíciókorival); a sérült gépek 15-ös „értékvesztése" (a könyv szerinti értékük nincs megadva).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3/B A tranzakciós ár 8 400 vs. 8 500 (a feladat egyszerre mondja, hogy „határidőben lezárul" és hogy a cég „sosem" végzett határidőre).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4/2) Lekötött tartalék: kötelezettség csak visszafizetési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kötelem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esetén [IAS 32.11, 16, 19]; a „valószínűleg képes lesz visszafizetni" nem kötelem.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2/B A feladat egymásnak ellentmondó mondatai (a létszám „nem változott" / „350-re csökkent").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0.2 Kulcsszámok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6"/>
        <w:gridCol w:w="8032"/>
      </w:tblGrid>
      <w:tr>
        <w:trPr>
          <w:tblHeader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Feladat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Eredmény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Nettó eredményhatás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+39,48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MFt (a kulcs tételeiből levezetve +46,15); OCI +100; mérlegfőösszeg 15 344,15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Goodwill 3 112; NCI 1 614; társult 330; konszolidált ET 9 022; saját tőke 22 636; mérlegfőösszeg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65 887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 (a kulcsé is 65 887, de más forrásösszetétellel)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2/A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Nettó halasztottadó-kötelezettség 186,12; OCI-ban 8,1; P&amp;L halasztottadó-bevétel 21,98; tényleges adó 9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2/B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Személyi jellegű ráfordítás 44,2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3/A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a) értékvesztés 60; b) 15 + 145 (goodwill 50, immateriális 19,49, gépek 75,51)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3/B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Készültség 20,25% / 60,76%; árbevétel 1 701 / 3 403; szerződéses kötelezettség 1 299 / 896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3/C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Bérbevevő: ROU 87,57; bérbeadó: pénzügyi lízing, nettó befektetés 81,61, karbantartás 1,75 elhatárolva</w:t>
            </w:r>
          </w:p>
        </w:tc>
      </w:tr>
      <w:tr>
        <w:trPr>
          <w:tblHeader w:val="false"/>
        </w:trPr>
        <w:tc>
          <w:tcPr>
            <w:tcW w:type="dxa" w:w="160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8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Weblap −10; lekötött tartalék → kötelezettség 200 ◆; per 450,79; anyavállalati kölcsön 909,79 + tőke 290,21; ARO 5,79; szabadság 11,375; visszárú 20 / 13,5; lízing 121,31 / 126,80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B2C83" w:sz="12"/>
              <w:left w:val="single" w:color="5B2C83" w:sz="36"/>
              <w:bottom w:val="single" w:color="5B2C83" w:sz="12"/>
              <w:right w:val="single" w:color="5B2C83" w:sz="12"/>
            </w:tcBorders>
            <w:shd w:fill="EFE7F7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B2C83"/>
                <w:sz w:val="21"/>
                <w:szCs w:val="21"/>
              </w:rPr>
              <w:t xml:space="preserve">Záradék és 2027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feladatlap „EU által befogadott és kihirdetett standardokat" ír elő, dátum nélkül. 2027-ben ez az IFRS 18-at jelenti (EU: (EU) 2026/338, kötelező 2027.01.01-től) – a mérési szabályok egyik feladatnál sem változnak, az eredménykimutatás tagolása igen.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IFRS 18-kategóriák (1/A): a hitel kamata és a folyósítási díj →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finanszírozási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; az FVTPL-részvények eredménye és a befektetési ingatlan →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befektetési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(ha a befektetés nem fő üzleti tevékenység); K+F, árbevétel, szerkezetátalakítás →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működési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4. feladat: az Újév Kft. leányvállalat – ha az anyavállalat nyilvános IFRS-konszolidált beszámolót készít és az Újév nem nyilvános elszámolási kötelezettségű, 2027-től az IFRS 19 csökkentett közzétételei választhatók (EU-befogadás: tervezet, 2026. szeptember 23-án a Hivatalos Lapban még nem láttam).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1/A. Őszirózsa Nyrt. – egyedi mérleg 2022 (25 pont)</w:t>
      </w: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Adóhatással nem kell foglalkozni; diszkontráta 10%. A számviteli politika szerint a tőkén belüli átvezetéseket (IFRS 9, IAS 16) realizáláskor megteszik. A feladatlap 2) és 3) pontja ugyanaz az esemény – az alábbi számozás a kulcsét követi (1–7).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1) Bankhitel folyósítási díjjal – amortizált bekerülési érték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1/A-1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Pénzügyi kötelezettség AC-n, tranzakciós költség, effektív kamat, rövid lejáratú rész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9.5.1.1, 5.3.1, B5.4.1–B5.4.2; IAS 1.69 (2027-től az IFRS 18 megfelelő pontjai)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◆ kisebb eltérés (rövid rész)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KÖTELEZŐ; IFRS 18: kamat és díj → finanszírozási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Kezdeti AC = 200 − 10 = 190;  effektív kamat 190 × 11,35% = 21,565;  fizetett névleges kamat 20 → kiegészítés 1,565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Záró AC = 190 + 21,565 − 20 (kamat) − 20 (tőke) = 171,565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Rövid lejáratú rész: 2023-ban fizetendő 18 + 20 = 38, ebből kamat 171,565 × 11,35% = 19,47 → AC-csökkenés 18,53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01.01.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Hitel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Egyéb ráfordítás (téves díjelszámolás)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díj az AC része [IFRS 9.5.1.1]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Kamatráfordítás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Hitel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1,565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effektív kamat − névleges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Hitel (hosszú)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Hitel (rövid)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18,53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◆ kulcs: 19,06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94"/>
        <w:gridCol w:w="7344"/>
      </w:tblGrid>
      <w:tr>
        <w:trPr>
          <w:tblHeader/>
        </w:trPr>
        <w:tc>
          <w:tcPr>
            <w:tcW w:type="dxa" w:w="22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Kimutatás</w:t>
            </w:r>
          </w:p>
        </w:tc>
        <w:tc>
          <w:tcPr>
            <w:tcW w:type="dxa" w:w="734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Hatás (tárgyév)</w:t>
            </w:r>
          </w:p>
        </w:tc>
      </w:tr>
      <w:tr>
        <w:trPr>
          <w:tblHeader w:val="false"/>
        </w:trPr>
        <w:tc>
          <w:tcPr>
            <w:tcW w:type="dxa" w:w="22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Mérleg</w:t>
            </w:r>
          </w:p>
        </w:tc>
        <w:tc>
          <w:tcPr>
            <w:tcW w:type="dxa" w:w="734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Hosszú hitel 180 → 153,04; rövid rész 18,53</w:t>
            </w:r>
          </w:p>
        </w:tc>
      </w:tr>
      <w:tr>
        <w:trPr>
          <w:tblHeader w:val="false"/>
        </w:trPr>
        <w:tc>
          <w:tcPr>
            <w:tcW w:type="dxa" w:w="22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</w:t>
            </w:r>
          </w:p>
        </w:tc>
        <w:tc>
          <w:tcPr>
            <w:tcW w:type="dxa" w:w="734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+10 − 1,565 =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+8,435</w:t>
            </w:r>
          </w:p>
        </w:tc>
      </w:tr>
      <w:tr>
        <w:trPr>
          <w:tblHeader w:val="false"/>
        </w:trPr>
        <w:tc>
          <w:tcPr>
            <w:tcW w:type="dxa" w:w="22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18</w:t>
            </w:r>
          </w:p>
        </w:tc>
        <w:tc>
          <w:tcPr>
            <w:tcW w:type="dxa" w:w="734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mindkét tétel finanszírozási kategória [IFRS 18.59–61]</w:t>
            </w:r>
          </w:p>
        </w:tc>
      </w:tr>
    </w:tbl>
    <w:p>
      <w:pPr>
        <w:spacing w:after="80"/>
      </w:pP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Díj visszaírása 10; kamat 1,565 (≈1,6); átsorolás (190 − 20 + 1,56)/9 = 19,06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 (a rövid rész közelítő)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kulcs a záró AC-t egyenletesen osztja 9 évre – ez nem a standard módszer.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díj és a kamat helyes. Rövid rész: 18,53 (AC-csökkenés 12 hónapon belül); a névleges 20 is elfogadható gyakorlat. Az eltérés nem érdemi.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Változatlan; 2027-ben a kamatráfordítás az IFRS 18 szerinti finanszírozási kategóriába kerül.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2) Gyárépület – értékesítésre tartott eszköz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1/A-2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5 besorolási feltételek, értékelés, écs leállítása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5.6–8, 15, 25, 38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◆ vitatható (időpont)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Az épület azonnal eladható, a vevőkeresés aktív, engedély nem kell. A kérdés a 12 hónapos feltétel [IFRS 5.8]: 10.01-jén a vezetés a </w:t>
      </w:r>
      <w:r>
        <w:rPr>
          <w:rFonts w:ascii="Calibri" w:cs="Calibri" w:eastAsia="Calibri" w:hAnsi="Calibri"/>
          <w:b/>
          <w:bCs/>
        </w:rPr>
        <w:t xml:space="preserve">következő év végéig</w:t>
      </w:r>
      <w:r>
        <w:rPr>
          <w:rFonts w:ascii="Calibri" w:cs="Calibri" w:eastAsia="Calibri" w:hAnsi="Calibri"/>
        </w:rPr>
        <w:t xml:space="preserve"> – azaz 15 hónapon belül – várja az eladást.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84"/>
        <w:gridCol w:w="2267"/>
        <w:gridCol w:w="2267"/>
        <w:gridCol w:w="1984"/>
        <w:gridCol w:w="1136"/>
      </w:tblGrid>
      <w:tr>
        <w:trPr>
          <w:tblHeader/>
        </w:trPr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Olvasat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Átsorolás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Écs 11–12. hó</w:t>
            </w:r>
          </w:p>
        </w:tc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Érték</w:t>
            </w:r>
          </w:p>
        </w:tc>
        <w:tc>
          <w:tcPr>
            <w:tcW w:type="dxa" w:w="113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Eredmény</w:t>
            </w:r>
          </w:p>
        </w:tc>
      </w:tr>
      <w:tr>
        <w:trPr>
          <w:tblHeader w:val="false"/>
        </w:trPr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Szigorú (saját)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 (ekkor már ≤ 12 hónap)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helyesen elszámolva</w:t>
            </w:r>
          </w:p>
        </w:tc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min(80; 106,7) = </w:t>
            </w: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</w:t>
            </w:r>
          </w:p>
        </w:tc>
        <w:tc>
          <w:tcPr>
            <w:tcW w:type="dxa" w:w="113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10.01.</w:t>
            </w:r>
          </w:p>
        </w:tc>
        <w:tc>
          <w:tcPr>
            <w:tcW w:type="dxa" w:w="226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visszaírandó 2 × 0,833 = 1,67 (kulcs: 2)</w:t>
            </w:r>
          </w:p>
        </w:tc>
        <w:tc>
          <w:tcPr>
            <w:tcW w:type="dxa" w:w="198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81,67 (kulcs: 82)</w:t>
            </w:r>
          </w:p>
        </w:tc>
        <w:tc>
          <w:tcPr>
            <w:tcW w:type="dxa" w:w="113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+1,67</w:t>
            </w:r>
          </w:p>
        </w:tc>
      </w:tr>
    </w:tbl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VÉ − értékesítési költség = 110 − 3,3 = 106,7 &gt; könyv szerinti érték → nincs értékvesztés [IFRS 5.15]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Értékesítésre tartott eszközök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gépek, berendezések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külön mérlegsor [IFRS 5.38]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Écs-visszaírás 2 (két hónapra 1,7); KSZÉ 82; átsorolás 82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10.01-jei besorolásnál nem teljesül a 12 hónapos feltétel; a 2 havi écs is 1,67, nem 2.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Szigorúan: átsorolás 12.31-én 80-on. Vizsgán a kulcs szándéka a 10.01-jei besorolás (81,67) – érdemes mindkettőt leírni, indokolva.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IFRS 5 2027-ben változatlan.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3) Kutatás-fejlesztés – aktiválás a feltételek teljesülésétől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1/A-3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Fejlesztési költség aktiválása; a korábbi ráfordítás nem írható vissza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38.54, 57, 65, 71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2022.11.01-től teljesülnek a feltételek → 120/12 × 2 = 20 aktiválandó; a 2021-es 70 és a jan–okt. 100 ráfordítás marad [IAS 38.71]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Immateriális javak (fejlesztés)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Ráfordítás (K+F költség)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38.65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120/12 × 2 = 20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Ugyanaz. Az amortizáció a használatra kész állapottól indul (2023).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4) Légkondicionálók – több teljesítési kötelem, ingyenes karbantartás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1/A-4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Teljesítési kötelmek, tranzakciós ár felosztása önálló eladási árak arányában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15.22, 27, 38, 74–79, 81–82, 106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Három kötelem: berendezés (időpontban), beszerelés (külön is megvásárolható, más is elvégzi → elkülönülő), karbantartás (ingyenes, de önálló eladási ára 40 EFt).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 beszerelést mindig önálló áron (80 EFt) adják → a 40 EFt-os kedvezmény csak a berendezés + karbantartás csomagot érinti [IFRS 15.82].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Berendezés: 500 × 500/540 = 462,96 EFt;  karbantartás: 500 × 40/540 = 37,04 EFt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Árbevétel = 100 × 462,96 + 70 × 80 = 46,30 + 5,60 = 51,90 MFt;  szerződéses kötelezettség 100 × 37,04 = 3,70 MFt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2022.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Technikai számla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 (berendezés)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46,30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időpontban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2022.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Technikai számla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 (beszerelés)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5,60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teljesítve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2022.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Technikai számla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Szerződéses kötelezettség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3,70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karbantartás: a teljesítéskor vagy a jog lejártakor bevétel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◆ A berendezések ELÁBÉ-ját a feladat nem adja meg – nem könyvelhető. A technikai számla 67-es egyenlegéből 55,6 tisztázódik; a maradék 11,4 eredete a feladatból nem derül ki (véglegesített mérlegben technikai számla nem maradhat).</w:t>
      </w: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46,3 + 5,6 árbevétel; 3,7 szerződéses kötelezettség (a kulcsban „3 0700 EFt" elírás)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5) Részleg bezárása – szerkezetátalakítási céltartalék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1/A-5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Vélelmezett kötelem; mely költségek képezhetik a céltartalékot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37.66–69, 72, 80–81; IFRS 16 (bérlet)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hiányos (kiürítés)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 (az IAS 37 célzott módosítása 2026. szeptemberben még csak tervezet)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239"/>
        <w:gridCol w:w="1927"/>
        <w:gridCol w:w="4132"/>
      </w:tblGrid>
      <w:tr>
        <w:trPr>
          <w:tblHeader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Tétel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Céltartalék?</w:t>
            </w: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Összeg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Indoklás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Végkielégítés közterhekkel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formális terv + kihirdetés 12.10-én → vélelmezett kötelem [IAS 37.72]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Átképzés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folytatódó tevékenység költsége [IAS 37.81]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Kiürítés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bezárással szükségszerűen járó, a folytatódó tevékenységhez nem kapcsolódó kiadás [IAS 37.80]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Bérleti szerződés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min(2 × 5; 3 × 5) = 10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kilépés legkisebb nettó költsége [IAS 37.68]</w:t>
            </w:r>
          </w:p>
        </w:tc>
      </w:tr>
      <w:tr>
        <w:trPr>
          <w:tblHeader w:val="false"/>
        </w:trPr>
        <w:tc>
          <w:tcPr>
            <w:tcW w:type="dxa" w:w="23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Összesen</w:t>
            </w:r>
          </w:p>
        </w:tc>
        <w:tc>
          <w:tcPr>
            <w:tcW w:type="dxa" w:w="123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92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45</w:t>
            </w:r>
          </w:p>
        </w:tc>
        <w:tc>
          <w:tcPr>
            <w:tcW w:type="dxa" w:w="41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kulcs: 40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Ráfordítás (szerkezetátalakítás)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Céltartalék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45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37.72, 80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◆ IFRS 16 alatt a bérelt épület használatijog-eszközként és lízingkötelezettségként már a mérlegben van (hacsak nem rövid lejáratú/kis értékű lízing volt): a hátralévő díj ekkor nem céltartalék, hanem a ROU-eszköz értékvesztését kell vizsgálni [IAS 36] – a kulcs és a feladat az IAS 17-es logikát követi.</w:t>
      </w: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Végkielégítés 30 + hátrányos szerződés 10 = 40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kiürítési költség kimaradt, pedig az IAS 37.80 közvetlen kiadásnak tekinti.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45; ráfordítás 45. (◆ A bérleti rész IFRS 16 alatt ROU-értékvesztés.)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404040" w:sz="12"/>
              <w:left w:val="single" w:color="404040" w:sz="36"/>
              <w:bottom w:val="single" w:color="404040" w:sz="12"/>
              <w:right w:val="single" w:color="404040" w:sz="12"/>
            </w:tcBorders>
            <w:shd w:fill="F2F2F2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1"/>
                <w:szCs w:val="21"/>
              </w:rPr>
              <w:t xml:space="preserve">R–S – Tipikus hiba és vizsgatipp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átképzést vagy a jövőbeli működési veszteséget felvenni – tilos [IAS 37.81, 63].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kötbért (15) automatikusan választani – a kisebb nettó költség (10) kell.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45-öt adnám; az IAS 37 célzott módosítása (tervezet) ezt a pontot nem érinti.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6) Saját használatú irodaház → befektetési ingatlan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1/A-6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Átsorolás bekerülési értékes PPE-ből valós értékes IP-be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40.57, 61–62; IAS 16.39–41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KÖTELEZŐ; IFRS 18: IP eredménye → befektetési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Átsoroláskor a VÉ − KSZÉ = 800 − 700 = 100 az IAS 16 szerinti átértékelési többlet (OCI) [IAS 40.61–62]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10.01.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gépek, berendezések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Átértékelési többlet (OCI)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40.62(b)(ii)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10.01.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Befektetési célú ingatlan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gépek, berendezések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 többlet az ingatlan kivezetésekor közvetlenül az eredménytartalékba vezethető át (nem forgatható át) [IAS 40.62(b)(ii), IAS 16.41]. A 12.31-i valós érték változatlan.</w:t>
      </w: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Ingatlan – K OCI 100; T Bef. ingatlan – K TE 800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7) FVTPL-részvények devizában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1/A-7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Tranzakciós költség, részleges eladás, fordulónapi valós érték devizában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9.4.1.4, 5.1.1, 5.7.1; IAS 21.21, 23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 (◆ euró-pénzeszköz)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KÖTELEZŐ; IFRS 18: eredmény → befektetési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Jutalék 4 000 € × 391 = 1,564 → ráfordítás (FVTPL-nél nem aktiválható) [IFRS 9.5.1.1]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Eladás: bevétel 92 000 × 388 = 35,696;  kivezetett érték 80 000 × 391 = 31,28;  nyereség 4,416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Maradék: 44 000 × 385 − 40 000 × 391 = 16,94 − 15,64 = +1,30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10.01.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Egyéb ráfordítás (jutalék)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1,564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 hó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FVTPL-részvények 31,28; Pénzügyi bevétel 4,416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35,696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FVTPL-részvények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Pénzügyi bevétel (VÉ-változás)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1,30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◆ Ha a 92 000 € devizaszámlán maradt: árfolyamveszteség 92 000 × (388 − 385) = 0,276 [IAS 21.23, 28]. A kulcs ezt nem vizsgálja; a feladat nem mondja meg.</w:t>
      </w: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Jutalék 1,564; nyereség 4,41; VÉ +1,3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Ugyanaz; összes eredmény +4,152.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Változatlan; IFRS 18 alatt az FVTPL-részvények eredménye a befektetési kategóriába kerül (nem fő üzleti tevékenység) [IFRS 18.53].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1/A összesítés – véglegesített mérleg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1"/>
        <w:gridCol w:w="1275"/>
        <w:gridCol w:w="2409"/>
        <w:gridCol w:w="1133"/>
        <w:gridCol w:w="1420"/>
      </w:tblGrid>
      <w:tr>
        <w:trPr>
          <w:tblHeader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Mérlegsor (MFt)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Előzetes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Változás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Esemény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Végleges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Immateriális javak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720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gépek, berendezések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10 500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−80; +100 −800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2; 6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9 720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Befektetési célú ingatlan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+800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Értékesítésre tartott eszköz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Készletek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Vevő és egyéb követelések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290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FVTPL-részvények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−31,28; +1,30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170,02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Pénzeszközök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1 520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+10; −1,564; +35,696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0; 7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1 564,13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ESZKÖZÖK ÖSSZESEN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15 220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15 344,15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Jegyzett tőke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6 000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6 000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Tőketartalék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Tárgyévi eredmény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+39,48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összes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439,48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Tárgyévi egyéb átfogó eredmény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+100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Hosszú lejáratú hitelek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180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−10; +1,565; −18,53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153,04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Céltartalék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+45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45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Halasztott adókötelezettség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1 073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1 073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Szállítók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1 500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Egyéb rövid lejáratú köt. és PIE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1 000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+18,53; +3,70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1; 4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1 022,23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Technikai számla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67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−55,6</w:t>
            </w: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11,40 ◆</w:t>
            </w:r>
          </w:p>
        </w:tc>
      </w:tr>
      <w:tr>
        <w:trPr>
          <w:tblHeader w:val="false"/>
        </w:trPr>
        <w:tc>
          <w:tcPr>
            <w:tcW w:type="dxa" w:w="34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FORRÁSOK ÖSSZESEN</w:t>
            </w:r>
          </w:p>
        </w:tc>
        <w:tc>
          <w:tcPr>
            <w:tcW w:type="dxa" w:w="127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15 220</w:t>
            </w:r>
          </w:p>
        </w:tc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3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42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15 344,15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Esemény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Eredményhatás (saját)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 kulcs tételeiből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1) hitel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+8,435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+8,4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2) IFRS 5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+1,67 (kulcs: 2)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3) fejlesztés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+20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+20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4) légkondicionálók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+51,90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+51,9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5) szerkezetátalakítás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−45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−40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6) IAS 40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 (OCI +100)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 (OCI +100)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7) FVTPL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+4,152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+4,15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Összesen</w:t>
            </w:r>
          </w:p>
        </w:tc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+39,48</w:t>
            </w:r>
          </w:p>
        </w:tc>
        <w:tc>
          <w:tcPr>
            <w:tcW w:type="dxa" w:w="321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≈ +46,15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5B2C83" w:sz="12"/>
              <w:left w:val="single" w:color="5B2C83" w:sz="36"/>
              <w:bottom w:val="single" w:color="5B2C83" w:sz="12"/>
              <w:right w:val="single" w:color="5B2C83" w:sz="12"/>
            </w:tcBorders>
            <w:shd w:fill="EFE7F7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5B2C83"/>
                <w:sz w:val="21"/>
                <w:szCs w:val="21"/>
              </w:rPr>
              <w:t xml:space="preserve">IFRS 18 szerinti tagolás (2027) – az 1/A eredményhatásai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Működési: árbevétel +51,90; K+F aktiválás +20; szerkezetátalakítás −45 →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+26,90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Befektetési: FVTPL-részvények −1,564 + 4,416 + 1,30 =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+4,152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(a jutalék a befektetés megszerzésével függ össze)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Finanszírozási: díj-visszaírás +10, kamat −1,565 →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+8,435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[IFRS 18.59–61]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Ha az Nyrt. fő üzleti tevékenysége befektetés lenne, az FVTPL-eredmény működési [IFRS 18.53–58] – a feladat szerint nem az.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1/B. November Csoport – konszolidált mérleg 2022.12.31. (25 pont)</w:t>
      </w: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Adóhatással nem kell foglalkozni; MFt-ra kerekítve. Ősz 80% (07.01., klasszikus NCI), Tél 30% társult (09.01.), Tavasz 50% közös megállapodás (december).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1. Ősz – nettó eszközök és goodwill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1/B-1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Átadott ellenérték (függő vételár), akvizíciós költség, azonosítható nettó eszközök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3.18–19, 23, 32, 37–39, 53, 56, 58; IAS 38.107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függő kötelezettség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 (a BCDGI-módosítás 2026. szeptemberben még nem jelent meg)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4"/>
        <w:gridCol w:w="1652"/>
        <w:gridCol w:w="1652"/>
        <w:gridCol w:w="3030"/>
      </w:tblGrid>
      <w:tr>
        <w:trPr>
          <w:tblHeader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Nettó eszköz (MFt)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Akvizíció 07.01.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Fordulónap 12.31.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Megjegyzés</w:t>
            </w: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Jegyzett tőke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Tőketartalék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3 600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4 000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+400 akvizíció utáni</w:t>
            </w: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 VÉ-többlete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1 470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1 500/25 × 6/12 = 30 écs</w:t>
            </w: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Peres ügy (függő kötelezettség)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−300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−300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3.56: marad (kulcs: −100)</w:t>
            </w: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Új technológia (határozatlan élettartam)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400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 amortizálandó [IAS 38.107]</w:t>
            </w:r>
          </w:p>
        </w:tc>
      </w:tr>
      <w:tr>
        <w:trPr>
          <w:tblHeader w:val="false"/>
        </w:trPr>
        <w:tc>
          <w:tcPr>
            <w:tcW w:type="dxa" w:w="33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Összesen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7 700</w:t>
            </w:r>
          </w:p>
        </w:tc>
        <w:tc>
          <w:tcPr>
            <w:tcW w:type="dxa" w:w="165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8 070</w:t>
            </w:r>
          </w:p>
        </w:tc>
        <w:tc>
          <w:tcPr>
            <w:tcW w:type="dxa" w:w="303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kulcs: 7 700 / 8 271</w:t>
            </w:r>
          </w:p>
        </w:tc>
      </w:tr>
    </w:tbl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Átadott ellenérték = 7 300 + 2 300 × 0,8573 = 7 300 + 1 972 = 9 272  (az akvizíciós költség 200 ráfordítás) [IFRS 3.37, 39, 53]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Goodwill = 9 272 − 80% × 7 700 = 9 272 − 6 160 = 3 112  (részleges goodwill)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NCI = 20% × 8 070 = 1 614;  anyára jutó akvizíció utáni változás = 80% × 370 = 296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Függő vételár letekeredése = 1 972 × 8% × 6/12 = 79 → kötelezettség 2 051 [IFRS 3.58]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00000" w:sz="12"/>
              <w:left w:val="single" w:color="C00000" w:sz="36"/>
              <w:bottom w:val="single" w:color="C00000" w:sz="12"/>
              <w:right w:val="single" w:color="C00000" w:sz="12"/>
            </w:tcBorders>
            <w:shd w:fill="FBE4E4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1"/>
                <w:szCs w:val="21"/>
              </w:rPr>
              <w:t xml:space="preserve">Miért marad 300 a függő kötelezettség?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akvizícióban felvett függő kötelezettséget a rendezésig a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magasabb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összegen kell értékelni: (a) az IAS 37 szerint megjelenítendő összeg, (b) a kezdeti összeg csökkentve az IFRS 15 szerinti halmozott bevétellel [IFRS 3.56].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per elvesztése továbbra sem valószínű → IAS 37 szerint 0 → max(0; 300) =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300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 A valósérték-csökkenés (100) nem vehető figyelembe – a kulcs ezt figyelmen kívül hagyta.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2. Csoporton belüli ügyletek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Anya eredménytartaléka (nem realizált nyereség)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 (Ősz)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lefelé irányuló eladás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 (Ősz)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Anya eredménytartaléka (écs-többlet)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20/5 × 3/12 – az anyához [IFRS 10.B86(c)]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 (úton lévő)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Kapott kölcsön (Ősz)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Ősznél még nincs könyvelve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Kapott kölcsön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Adott kölcsön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kiszűrés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3. Tél – társult vállalkozás (30%)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Nettó eszköz 09.01.: 1 000 − 900 = 100 → 30 → beágyazott goodwill 270;  eredményrészesedés 30% × 100 = 30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Felfelé irányuló áru-eladás: 50 × 40% × 30% = 6 → kiszűrés;  társult 300 + 30 = 330, készlet −6 (kulcs)</w:t>
      </w: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 felfelé irányuló ügylet kiszűrése a befektetéssel szemben is elfogadott (akkor társult 324, készlet változatlan) [IAS 28.28]. Az eredményhatás mindkét esetben +24.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4. Tavasz – közös megállapodás (50%)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Közös irányítás (konszenzus) [IFRS 11.7]. Tavasz elkülönült gazdálkodó, de kibocsátása a csoportnak szól, piacon nem jelenik meg → a kulcs </w:t>
      </w:r>
      <w:r>
        <w:rPr>
          <w:rFonts w:ascii="Calibri" w:cs="Calibri" w:eastAsia="Calibri" w:hAnsi="Calibri"/>
          <w:b/>
          <w:bCs/>
        </w:rPr>
        <w:t xml:space="preserve">közös tevékenységnek</w:t>
      </w:r>
      <w:r>
        <w:rPr>
          <w:rFonts w:ascii="Calibri" w:cs="Calibri" w:eastAsia="Calibri" w:hAnsi="Calibri"/>
        </w:rPr>
        <w:t xml:space="preserve"> tekinti [IFRS 11.B31–B32]: a Novemberre jutó 50% eszköz/kötelezettség soronként.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 450; Pénzeszköz 150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Szállítók 400; Befektetés Tavaszban 200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11.20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◆ Ha a „csoport tagjai" csak a November Csoportot jelentik, a másik fél nem kap kibocsátást → a B31 feltétele (a felek kapják lényegében a teljes kibocsátást) kétséges → közös vállalkozás, tőkemódszer: befektetés 50% × 400 = 200 (változatlan), mérlegfőösszeg 65 487.</w:t>
      </w:r>
    </w:p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5. Konszolidált eredménytartalék és mérleg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54"/>
        <w:gridCol w:w="2141"/>
        <w:gridCol w:w="2143"/>
      </w:tblGrid>
      <w:tr>
        <w:trPr>
          <w:tblHeader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Eredménytartalék (MFt)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Saját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Kulcs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November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9 000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9 000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Ősz akvizíció utáni (80%)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+296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+457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Függő vételár letekeredése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−79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−79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Lefelé irányuló eladás (20 − 1)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−19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−20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Tél (30 − 6)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+24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+24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Akvizíciós költség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−200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−200</w:t>
            </w:r>
          </w:p>
        </w:tc>
      </w:tr>
      <w:tr>
        <w:trPr>
          <w:tblHeader w:val="false"/>
        </w:trPr>
        <w:tc>
          <w:tcPr>
            <w:tcW w:type="dxa" w:w="535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Összesen</w:t>
            </w:r>
          </w:p>
        </w:tc>
        <w:tc>
          <w:tcPr>
            <w:tcW w:type="dxa" w:w="214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9 022</w:t>
            </w:r>
          </w:p>
        </w:tc>
        <w:tc>
          <w:tcPr>
            <w:tcW w:type="dxa" w:w="214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9 182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1101"/>
        <w:gridCol w:w="3579"/>
        <w:gridCol w:w="1103"/>
      </w:tblGrid>
      <w:tr>
        <w:trPr>
          <w:tblHeader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Eszközök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Források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Goodwill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3 112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Jegyzett tőke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6 000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Immateriális javak (technológia)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400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Tőketartalék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Társult vállalkozás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330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9 022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Ingatlanok, gépek (17 200 + 8 000 + 1 470 − 20 + 1 + 450)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27 101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Átértékelési többlet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Készletek (9 000 + 4 800 − 6)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13 794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Anyára jutó saját tőke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21 022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Követelések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13 600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NCI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1 614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Pénzeszközök (4 000 + 2 600 + 800 + 150)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7 550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Saját tőke összesen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22 636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Hosszú lejáratú hitelek (24 000 + 3 200)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27 200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Céltartalékok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2 500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Függő kötelezettség (per)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Függő vételár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2 051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Szállítók (5 000 + 5 800 + 400)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11 200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ESZKÖZÖK ÖSSZESEN</w:t>
            </w:r>
          </w:p>
        </w:tc>
        <w:tc>
          <w:tcPr>
            <w:tcW w:type="dxa" w:w="110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65 887</w:t>
            </w:r>
          </w:p>
        </w:tc>
        <w:tc>
          <w:tcPr>
            <w:tcW w:type="dxa" w:w="357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FORRÁSOK ÖSSZESEN</w:t>
            </w:r>
          </w:p>
        </w:tc>
        <w:tc>
          <w:tcPr>
            <w:tcW w:type="dxa" w:w="110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65 887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 7 700 / 8 271; GW 3 112; NCI 1 654; ET 9 182; saját tőke 22 836; kötelezettségek 43 051; mérlegfőösszeg 65 887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függő kötelezettséget a fordulónapi valós értékre (100) csökkentette, és a lefelé irányuló eladás écs-hatását a leány nettó eszközébe tette.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NA 8 070; NCI 1 614; ET 9 022; saját tőke 22 636; kötelezettségek 43 251; mérlegfőösszeg 65 887. A goodwill, az eszközoldal és a Tavasz-kezelés (◆) egyezik.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404040" w:sz="12"/>
              <w:left w:val="single" w:color="404040" w:sz="36"/>
              <w:bottom w:val="single" w:color="404040" w:sz="12"/>
              <w:right w:val="single" w:color="404040" w:sz="12"/>
            </w:tcBorders>
            <w:shd w:fill="F2F2F2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1"/>
                <w:szCs w:val="21"/>
              </w:rPr>
              <w:t xml:space="preserve">R–S – Tipikus hiba és vizsgatipp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akvizíciós költséget a befektetésben hagyni – ráfordítás [IFRS 3.53].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függő vételárat névértéken (2 300) felvenni – valós értéken (jelenérték) kell [IFRS 3.39].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függő kötelezettséget az IAS 37 szerint eltüntetni vagy valós értéken újraértékelni [IFRS 3.56].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Lefelé irányuló ügyletnél az NCI-t terhelni.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IFRS 3.56 2027-ben változatlan (a BCDGI-projekt a közzétételeket és az értékvesztési tesztet érinti, 2026. szeptemberben nem jelent meg végleges módosítás). IFRS 18: a goodwill külön mérlegsor.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2/A. Haloween Nyrt. – halasztott adó (20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Átmeneti különbözetek, áthozott veszteség, kulcsváltozás, OCI-tétel adója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12.5, 7–8, 15, 24, 34–36, 47–48, 58, 61A, 74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 (elírásokkal)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 megfordulás 2023-tól várható → 9%-os kulcs, ha a fordulónapon ténylegesen elfogadott (substantively enacted) [IAS 12.47]. ◆ A „publikussá vált" ennél gyengébb – a kulcs a 9%-kal számol.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55"/>
        <w:gridCol w:w="1268"/>
        <w:gridCol w:w="1268"/>
        <w:gridCol w:w="1521"/>
        <w:gridCol w:w="1394"/>
        <w:gridCol w:w="2032"/>
      </w:tblGrid>
      <w:tr>
        <w:trPr>
          <w:tblHeader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Tétel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Könyv szerinti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Adóalap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Különbözet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HA (+köt / −köv)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Megjegyzés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Ingatlanok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2 400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600 adóköteles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+54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eltérő écs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Befektetési ingatlan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4 500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4 050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450 adóköteles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+40,5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VÉ nem adóalap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Gépek (fejlesztési tartalékból)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2 000 adóköteles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+180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az adóban már leírva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FVOCI-részvények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900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810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90 adóköteles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+8,1 (OCI)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12.61A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Vevők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225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375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150 levonható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−13,5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◆ lásd alább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Hitel (díj adóban levonva)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1 200 (◆ AC 1 192)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1 208 / 1 200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 adóköteles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+0,72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jövőbeli, adóban nem levonható kamat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Céltartalék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270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270 levonható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−24,3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Bírság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</w:t>
            </w: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állandó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kulcs: „20" elírás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Áthozott veszteség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750 − 90 = 660</w:t>
            </w: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−59,4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12.34–36</w:t>
            </w:r>
          </w:p>
        </w:tc>
      </w:tr>
      <w:tr>
        <w:trPr>
          <w:tblHeader w:val="false"/>
        </w:trPr>
        <w:tc>
          <w:tcPr>
            <w:tcW w:type="dxa" w:w="21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Összesen (nettó köt.)</w:t>
            </w: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26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52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39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+186,12</w:t>
            </w:r>
          </w:p>
        </w:tc>
        <w:tc>
          <w:tcPr>
            <w:tcW w:type="dxa" w:w="203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Tényleges adó: adóalap 180, veszteségfelhasználás max 50% = 90 → (180 − 90) × 10% = 9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Nyitó 200 → záró 186,12: változás −13,88 = OCI +8,1 és P&amp;L −21,98 (halasztottadó-bevétel)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OCI (FVOCI-tartalék)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Halasztott adókötelezettség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8,1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12.61A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Halasztott adókötelezettség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Halasztottadó-bevétel (P&amp;L)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21,98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Tényleges adóráfordítás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Társaságiadó-kötelezettség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9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Eredménykimutatás adóráfordítása: 9 − 21,98 = </w:t>
      </w:r>
      <w:r>
        <w:rPr>
          <w:rFonts w:ascii="Calibri" w:cs="Calibri" w:eastAsia="Calibri" w:hAnsi="Calibri"/>
          <w:b/>
          <w:bCs/>
        </w:rPr>
        <w:t xml:space="preserve">−12,98</w:t>
      </w:r>
      <w:r>
        <w:rPr>
          <w:rFonts w:ascii="Calibri" w:cs="Calibri" w:eastAsia="Calibri" w:hAnsi="Calibri"/>
        </w:rPr>
        <w:t xml:space="preserve"> (adóbevétel).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F06" w:sz="12"/>
              <w:left w:val="single" w:color="B45F06" w:sz="36"/>
              <w:bottom w:val="single" w:color="B45F06" w:sz="12"/>
              <w:right w:val="single" w:color="B45F06" w:sz="12"/>
            </w:tcBorders>
            <w:shd w:fill="FFF2C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45F06"/>
                <w:sz w:val="21"/>
                <w:szCs w:val="21"/>
              </w:rPr>
              <w:t xml:space="preserve">Vitatható pontok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Vevők: ha a 150 halmozott értékvesztésből 75 behajthatatlan (adóban leírható) követelésé, az adóalap 300, a levonható különbözet 75 → HA-követelés 6,75, a nettó kötelezettség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192,87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Hitel: IFRS 9 szerint az 1 200-as hitel AC-je 1 192 (a díj levonva) – a feladat 1 200-at ad meg; a halasztott adó (0,72) mindkét olvasatban azonos.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Áthozott veszteség: a nyereséges tervek alapján megjeleníthető [IAS 12.35–36]; a számviteli halmozott veszteség (900) nem releváns.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Nettó HA-kötelezettség 186,12; OCI 8,1; P&amp;L 21,98; tényleges adó 9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Két elírás (bírság „20", „200 − 182,12"), az eredmény helyes.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IAS 12 2027-ben érdemben változatlan (a globális minimumadó-kivétel [IAS 12.4A] itt nem releváns). A „fejlesztési tartalék" adójogi feltevését a feladat adja.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2/B. Haloween Nyrt. – részvényalapú juttatás (5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2/B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Tőkében rendezett juttatás; nyújtáskori valós érték; kilépési becslés változása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2.10–11, 19–20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2021: 400 × 80% × 100 × 13 eFt × 1/5 = 83,2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2022: 350 × 70% × 100 × 13 eFt × 2/5 = 127,4 → tárgyévi ráfordítás 127,4 − 83,2 = 44,2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12.31.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Személyi jellegű ráfordítás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Saját tőke (részvényalapú juttatás)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44,2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2.19–20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A nyújtás napi 13 eFt-os értékkel kell számolni – a későbbi opcióértékek (14, 16) zavaró adatok. ◆ A feladat egymásnak ellentmondó mondatát a kulcs úgy olvassa, hogy 2021 végén még nem változott a becslés.</w:t>
      </w:r>
    </w:p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83,2 → 127,4; ráfordítás 44,2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Változatlan.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3/A. December Zrt. – értékvesztés (10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3/A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Egyedi eszköz; CGU goodwill-lal és tönkrement eszközzel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IAS 36.18, 59, 104–105, 6 (FVLCD, VIU); IFRS 9 (követelés, pénz)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✔ helyes (◆ feltevések)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a) Gépcsoport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FVLCD = 350 − 10 = 340;  VIU = 130 × 2,4869 = 323,30;  megtérülő érték 340 → értékvesztés 400 − 340 = 60</w:t>
      </w: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b) Alvállalkozó (CGU)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Goodwill = 810 − 760 = 50 ◆;  sérült gépek egyedi értékvesztése 15 ◆ → CGU KSZÉ = 760 + 50 − 15 = 795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Értékvesztés 795 − 650 = 145: goodwill 50, a maradék 95 a PPE (465) és az immateriális javak (120) arányában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13"/>
        <w:gridCol w:w="1204"/>
        <w:gridCol w:w="1505"/>
        <w:gridCol w:w="1505"/>
        <w:gridCol w:w="2111"/>
      </w:tblGrid>
      <w:tr>
        <w:trPr>
          <w:tblHeader/>
        </w:trPr>
        <w:tc>
          <w:tcPr>
            <w:tcW w:type="dxa" w:w="33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Eszköz</w:t>
            </w:r>
          </w:p>
        </w:tc>
        <w:tc>
          <w:tcPr>
            <w:tcW w:type="dxa" w:w="12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KSZÉ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Értékvesztés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Új érték</w:t>
            </w:r>
          </w:p>
        </w:tc>
        <w:tc>
          <w:tcPr>
            <w:tcW w:type="dxa" w:w="211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Alsó korlát [36.105]</w:t>
            </w:r>
          </w:p>
        </w:tc>
      </w:tr>
      <w:tr>
        <w:trPr>
          <w:tblHeader w:val="false"/>
        </w:trPr>
        <w:tc>
          <w:tcPr>
            <w:tcW w:type="dxa" w:w="33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Goodwill</w:t>
            </w:r>
          </w:p>
        </w:tc>
        <w:tc>
          <w:tcPr>
            <w:tcW w:type="dxa" w:w="12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50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  <w:tc>
          <w:tcPr>
            <w:tcW w:type="dxa" w:w="211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33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Termelőberendezések</w:t>
            </w:r>
          </w:p>
        </w:tc>
        <w:tc>
          <w:tcPr>
            <w:tcW w:type="dxa" w:w="12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465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75,51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389,49</w:t>
            </w:r>
          </w:p>
        </w:tc>
        <w:tc>
          <w:tcPr>
            <w:tcW w:type="dxa" w:w="211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370 ✔</w:t>
            </w:r>
          </w:p>
        </w:tc>
      </w:tr>
      <w:tr>
        <w:trPr>
          <w:tblHeader w:val="false"/>
        </w:trPr>
        <w:tc>
          <w:tcPr>
            <w:tcW w:type="dxa" w:w="33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Immateriális javak</w:t>
            </w:r>
          </w:p>
        </w:tc>
        <w:tc>
          <w:tcPr>
            <w:tcW w:type="dxa" w:w="12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120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19,49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100,51</w:t>
            </w:r>
          </w:p>
        </w:tc>
        <w:tc>
          <w:tcPr>
            <w:tcW w:type="dxa" w:w="211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100 ✔</w:t>
            </w:r>
          </w:p>
        </w:tc>
      </w:tr>
      <w:tr>
        <w:trPr>
          <w:tblHeader w:val="false"/>
        </w:trPr>
        <w:tc>
          <w:tcPr>
            <w:tcW w:type="dxa" w:w="33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Követelések, pénz, kötelezettségek</w:t>
            </w:r>
          </w:p>
        </w:tc>
        <w:tc>
          <w:tcPr>
            <w:tcW w:type="dxa" w:w="1204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160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  <w:tc>
          <w:tcPr>
            <w:tcW w:type="dxa" w:w="150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160</w:t>
            </w:r>
          </w:p>
        </w:tc>
        <w:tc>
          <w:tcPr>
            <w:tcW w:type="dxa" w:w="211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 IAS 36-eszköz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F06" w:sz="12"/>
              <w:left w:val="single" w:color="B45F06" w:sz="36"/>
              <w:bottom w:val="single" w:color="B45F06" w:sz="12"/>
              <w:right w:val="single" w:color="B45F06" w:sz="12"/>
            </w:tcBorders>
            <w:shd w:fill="FFF2C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45F06"/>
                <w:sz w:val="21"/>
                <w:szCs w:val="21"/>
              </w:rPr>
              <w:t xml:space="preserve">Feltevések (◆)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goodwill a fizetett ellenérték és az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akvizíciókori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valós nettó eszközök különbsége lenne; a feladat csak a mai nettó eszközöket (760) adja → a kulcs 50-nel számol.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sérült eszközök könyv szerinti értéke nincs megadva; a kulcs a 15-öt veszteségként kezeli. Ha a 15 a sérült gépek valós értéke, az egyedi leírás = KSZÉ − 15.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feladat nem mondja meg, egyedi (befektetés) vagy konszolidált szintről van szó – a CGU-megközelítés a konszolidált szintet feltételezi.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a) 60; b) GW 50, egyedi 15, CGU-értékvesztés 145 (GW 50, immateriális 19,5, PPE 75,5); alternatíva goodwill nélkül 95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Igen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Ugyanaz; a felosztás alsó korlátjai teljesülnek.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IAS 36 2027-ben változatlan (a BCDGI-tervezet egyszerűsítései még nem léptek hatályba).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3/B. December Zrt. – időben teljesülő kivitelezés (10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3/B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Változó ellenérték (sikerdíj, kötbér); input módszer; szerződés megszerzésének költsége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15.35, 50–57, 91–95, 99, 105–107, B18–B19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10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ajánlatkészítési díj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</w:t>
            </w:r>
          </w:p>
        </w:tc>
      </w:tr>
    </w:tbl>
    <w:p>
      <w:pPr>
        <w:spacing w:after="80"/>
      </w:pP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Tranzakciós ár: 8 500 − 100 (kötbér várható) = 8 400; a sikerdíj a korlát miatt kimarad [IFRS 15.56–57] ◆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1. év: (1 800 − 200 fel nem használt anyag) / 7 900 = 20,25% → árbevétel 1 701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2. év: (1 600 + 3 000 + 200) / 7 900 = 60,76% → halmozott 5 104 → tárgyévi 3 403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55"/>
        <w:gridCol w:w="2891"/>
        <w:gridCol w:w="2892"/>
      </w:tblGrid>
      <w:tr>
        <w:trPr>
          <w:tblHeader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 év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 év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Pénzbevétel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1 701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3 403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Szerződéses kötelezettség (záró)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1 299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896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Szerződésteljesítési költség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1 600 (+200 anyagkészlet)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3 200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Utazási költség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0,5 ráfordítás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Ajánlatkészítési díj (saját)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 ráfordítás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–</w:t>
            </w:r>
          </w:p>
        </w:tc>
      </w:tr>
      <w:tr>
        <w:trPr>
          <w:tblHeader w:val="false"/>
        </w:trPr>
        <w:tc>
          <w:tcPr>
            <w:tcW w:type="dxa" w:w="385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Ajánlatkészítési díj (kulcs)</w:t>
            </w:r>
          </w:p>
        </w:tc>
        <w:tc>
          <w:tcPr>
            <w:tcW w:type="dxa" w:w="289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eszköz 30, amortizáció 6,08</w:t>
            </w:r>
          </w:p>
        </w:tc>
        <w:tc>
          <w:tcPr>
            <w:tcW w:type="dxa" w:w="289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amortizáció 12,15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év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 1 701; Szerződéses kötelezettség 1 299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3 000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15.106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év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Anyagkészlet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Költség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 mér teljesítést [B19]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év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Ráfordítás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30,5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ajánlat 30 [15.93] + utazás 0,5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év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 3 000; Szerződéses kötelezettség 403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3 403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év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Költség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Anyagkészlet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200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felhasználás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00000" w:sz="12"/>
              <w:left w:val="single" w:color="C00000" w:sz="36"/>
              <w:bottom w:val="single" w:color="C00000" w:sz="12"/>
              <w:right w:val="single" w:color="C00000" w:sz="12"/>
            </w:tcBorders>
            <w:shd w:fill="FBE4E4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1"/>
                <w:szCs w:val="21"/>
              </w:rPr>
              <w:t xml:space="preserve">Ajánlatkészítési díj – a szöveg és a standard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IFRS 15.91–92: az a költség aktiválható, amely a szerződés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megszerzése nélkül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nem merült volna fel (pl. jutalék).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IFRS 15.93: a szerződés megszerzésétől függetlenül felmerülő költség – ilyen az ajánlatkészítés, amelyet a pályázaton való induláskor akkor is megfizetnek, ha nem nyernek –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ráfordítás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kivéve ha a vevőre kifejezetten továbbhárítható.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feladat szövege („nem merült volna fel, ha nem indul a pályázaton") éppen a 15.93-as esetet írja le. Vizsgán érdemes a kulcs szándékát (aktiválás, költségarányos amortizáció) is bemutatni, de a helyes megoldás a ráfordítás. Aktiválás esetén sem „szerződéses eszköz" (az a feltételes számlázási jog [15.107]), hanem a szerződés megszerzésének költségéből képzett eszköz [15.95, 99].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TP 8 400; 20,25% / 60,76%; árbevétel 1 701 / 3 403; szerződéses kötelezettség 1 299 → 896; „szerződéses eszköz" 30, amortizáció 6,075 / 12,153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készültség és az árbevétel helyes; az ajánlatkészítési díj aktiválása a szöveg szerint ellentmond az IFRS 15.93-nak, a „szerződéses eszköz" elnevezés téves.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Árbevétel 1 701 / 3 403; ajánlatkészítés 30 ráfordítás. ◆ Ha a cég határidőre végez: TP 8 500 → árbevétel 1 722 / 3 443.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IFRS 15 2027-ben változatlan.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3/C. December Zrt. – lízing (5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3/C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Nem lízing komponens; gyakorlati egyszerűsítés; bérbeadói minősítés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16.12–17, 22–28, 61–63, 67–68, 70; IFRS 15.73–80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bérbeadói karbantartás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KÖTELEZŐ; IFRS 18: bérbevevő kamata → finanszírozási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1. Bérbevevő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Lízing (azonosított eszköz, a használat irányítása 5 évig). A meghosszabbítás nem észszerűen biztos → futamidő 5 év [IFRS 16.18–19]. Diszkontráta: járulékos hitelkamatláb 10% [16.26].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Gyakorlati egyszerűsítés: a karbantartást nem választja le, a teljes 21 lízingdíj [IFRS 16.15].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ROU = 21 + 21 × 3,1699 = 21 × 4,1699 = 87,57;  lízingkötelezettség a kezdéskor fizetett 21 után 66,57 [IFRS 16.24, 26]</w:t>
      </w: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Érintett sorok: használatijog-eszköz (befektetett), lízingkötelezettség (rövid/hosszú), pénzeszköz; eredményben később écs és kamatráfordítás (2027: finanszírozási kategória).</w:t>
      </w: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2. Bérbeadó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Pénzügyi lízing: a díjak jelenértéke lefedi a valós érték lényegi részét, és a futamidő a gazdasági élettartam (5–7 év) jelentős része [IFRS 16.63(c)–(d)].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 bérbeadónak </w:t>
      </w:r>
      <w:r>
        <w:rPr>
          <w:rFonts w:ascii="Calibri" w:cs="Calibri" w:eastAsia="Calibri" w:hAnsi="Calibri"/>
          <w:b/>
          <w:bCs/>
        </w:rPr>
        <w:t xml:space="preserve">nincs</w:t>
      </w:r>
      <w:r>
        <w:rPr>
          <w:rFonts w:ascii="Calibri" w:cs="Calibri" w:eastAsia="Calibri" w:hAnsi="Calibri"/>
        </w:rPr>
        <w:t xml:space="preserve"> gyakorlati egyszerűsítése: a 21-et az önálló eladási árak (22 : 2) arányában osztja fel [IFRS 16.17; IFRS 15.73–80].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Lízing: 21 × 22/24 = 19,25;  karbantartás: 21 × 2/24 = 1,75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Nettó befektetés = 19,25 + 19,25 × 3,2397 (4 év, 9%) = 19,25 + 62,36 = 81,61 [IFRS 16.67–68]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"/>
        <w:gridCol w:w="2540"/>
        <w:gridCol w:w="2540"/>
        <w:gridCol w:w="876"/>
        <w:gridCol w:w="2719"/>
      </w:tblGrid>
      <w:tr>
        <w:trPr>
          <w:tblHeader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Tartozik (Dr)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Követel (Cr)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MFt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 / megjegyzés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kezdés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Lízingkövetelés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Eszköz (kivezetés) / árbevétel és ELÁBÉ, ha gyártó-kereskedő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81,61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16.67, 71</w:t>
            </w:r>
          </w:p>
        </w:tc>
      </w:tr>
      <w:tr>
        <w:trPr>
          <w:tblHeader w:val="false"/>
        </w:trPr>
        <w:tc>
          <w:tcPr>
            <w:tcW w:type="dxa" w:w="96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kezdés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Pénzeszköz</w:t>
            </w:r>
          </w:p>
        </w:tc>
        <w:tc>
          <w:tcPr>
            <w:tcW w:type="dxa" w:w="254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Lízingkövetelés 19,25; Szerződéses kötelezettség 1,75</w:t>
            </w:r>
          </w:p>
        </w:tc>
        <w:tc>
          <w:tcPr>
            <w:tcW w:type="dxa" w:w="87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</w:t>
            </w:r>
          </w:p>
        </w:tc>
        <w:tc>
          <w:tcPr>
            <w:tcW w:type="dxa" w:w="271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karbantartás: bevétel az év során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Bérbevevő 87,6; bérbeadó pénzügyi lízing 81,6 („3,8897" szorzóval felírva); T Vevők – K Árbevétel 1,75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karbantartás a kezdéskor még nem teljesült szolgáltatás; a szorzó felirata elírás (a helyes 3,2397, az eredmény ezzel egyezik).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Bérbevevő 87,57; bérbeadó 81,61; a karbantartás 1,75 szerződéses kötelezettség, árbevétel időarányosan.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2E7D32" w:sz="12"/>
              <w:left w:val="single" w:color="2E7D32" w:sz="36"/>
              <w:bottom w:val="single" w:color="2E7D32" w:sz="12"/>
              <w:right w:val="single" w:color="2E7D32" w:sz="12"/>
            </w:tcBorders>
            <w:shd w:fill="E8F5E9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21"/>
                <w:szCs w:val="21"/>
              </w:rPr>
              <w:t xml:space="preserve">„Ha ezt a feladatot 2027-ben kapnám meg, ugyanígy válaszolnék?" → IGEN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IFRS 16 2027-ben változatlan.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4. Újév Kft. – első IFRS-alkalmazás (25 pont)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tblHeader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Mező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Tartalom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– Azonosító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 – Vizsgasor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2023. november 15.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 – Téma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 nyitómérleg-korrekciók mentesítések nélkül; becslések; egyeztetések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D–E – IFRS/IAS, standardpont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1.6–7, 10–11, 14–16, 21, 23–24; IAS 38.57; IAS 32.11, 16; IAS 37.45; IFRS 9.5.1.1, B5.1.1; IFRIC 1; IAS 19.13; IFRS 15.B20–B27; IFRS 16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Pontszám (kulcs szerint)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25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Kulcs értékelése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✘ lízingszámítás; ◆ lekötött tartalék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 – 2027-es státusz</w:t>
            </w:r>
          </w:p>
        </w:tc>
        <w:tc>
          <w:tcPr>
            <w:tcW w:type="dxa" w:w="7229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KÖTELEZŐ; IFRS 19 (tervezett EU-befogadás) leánynál választható</w:t>
            </w:r>
          </w:p>
        </w:tc>
      </w:tr>
    </w:tbl>
    <w:p>
      <w:pPr>
        <w:spacing w:after="80"/>
      </w:pP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Első IFRS-beszámoló: 2023.12.31., összehasonlító év 2022 → az áttérés napja </w:t>
      </w:r>
      <w:r>
        <w:rPr>
          <w:rFonts w:ascii="Calibri" w:cs="Calibri" w:eastAsia="Calibri" w:hAnsi="Calibri"/>
          <w:b/>
          <w:bCs/>
        </w:rPr>
        <w:t xml:space="preserve">2022.01.01.</w:t>
      </w:r>
      <w:r>
        <w:rPr>
          <w:rFonts w:ascii="Calibri" w:cs="Calibri" w:eastAsia="Calibri" w:hAnsi="Calibri"/>
        </w:rPr>
        <w:t xml:space="preserve"> [IFRS 1.6, 21]. Mentesítést nem alkalmaz → minden standard visszamenőleg; a korrekciók az eredménytartalékkal szemben [IFRS 1.11]. (A feladatlap egy helyen „Augusztus" néven hivatkozik a társaságra – a 2019.06.06-i változat maradványa.)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1"/>
        <w:gridCol w:w="2877"/>
        <w:gridCol w:w="4747"/>
        <w:gridCol w:w="1583"/>
      </w:tblGrid>
      <w:tr>
        <w:trPr>
          <w:tblHeader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Tétel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Korrekció (Tartozik – Követel, MFt)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ET-hatás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Weblap (50, ebből IFRS szerint aktiválható 80%)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 – Immateriális javak 10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−10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Lekötött tartalék (veszteségfedezet)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Lekötött tartalék – Rövid lejáratú kötelezettség 200 (kulcs) ◆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 (tőkén belül → kötelezettség)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3a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Garanciális céltartalék 200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Átsorolás rövid lejáratú céltartalékba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3b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Peres ügy 600 → diszkontálás 3 évre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Céltartalék – Eredménytartalék 149,21 (600/1,331 = 450,79)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+149,21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Kamatmentes anyavállalati kölcsön 1 200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Kölcsön – Saját tőke (tulajdonosi hozzájárulás) 290,21; AC = 240 × 3,7908 = 909,79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0 (tőkeelem)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5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Leszerelési kötelem (2020.01.01., 15 év)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Berendezés 4,79 – Céltartalék 4,79; Eredménytartalék – Céltartalék 1,01; Eredménytartalék – Halmozott écs 0,64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−1,64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Ki nem vett szabadság 130 × 70 000 × 1,25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 – Rövid lejáratú kötelezettség 11,375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−11,375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7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Visszárú (dec. forgalom 400, 5%)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Eredménytartalék – Visszatérítési kötelezettség 20; Visszaszerzési eszköz – Eredménytartalék 13,5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−6,5</w:t>
            </w:r>
          </w:p>
        </w:tc>
      </w:tr>
      <w:tr>
        <w:trPr>
          <w:tblHeader w:val="false"/>
        </w:trPr>
        <w:tc>
          <w:tcPr>
            <w:tcW w:type="dxa" w:w="431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</w:t>
            </w:r>
          </w:p>
        </w:tc>
        <w:tc>
          <w:tcPr>
            <w:tcW w:type="dxa" w:w="287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Iroda-bérlet 2021.01.01-től, 5 év, 40/év utólag</w:t>
            </w:r>
          </w:p>
        </w:tc>
        <w:tc>
          <w:tcPr>
            <w:tcW w:type="dxa" w:w="4747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ROU 121,31; Lízingkötelezettség 126,80; Eredménytartalék 5,49 (Tartozik)</w:t>
            </w:r>
          </w:p>
        </w:tc>
        <w:tc>
          <w:tcPr>
            <w:tcW w:type="dxa" w:w="158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righ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−5,49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4.1 A tételek indoklása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1. Weblap:</w:t>
      </w:r>
      <w:r>
        <w:rPr>
          <w:rFonts w:ascii="Calibri" w:cs="Calibri" w:eastAsia="Calibri" w:hAnsi="Calibri"/>
        </w:rPr>
        <w:t xml:space="preserve"> az IFRS szerint aktiválható rész 40 [IAS 38.57]; a 10 kivezetése az ET-vel szemben. Amortizáció: a feladat szerint még nincs.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2. Lekötött tartalék:</w:t>
      </w:r>
      <w:r>
        <w:rPr>
          <w:rFonts w:ascii="Calibri" w:cs="Calibri" w:eastAsia="Calibri" w:hAnsi="Calibri"/>
        </w:rPr>
        <w:t xml:space="preserve"> a kulcs kötelezettségnek sorolja. Az IAS 32 szerint csak akkor kötelezettség, ha a társaságnak </w:t>
      </w:r>
      <w:r>
        <w:rPr>
          <w:rFonts w:ascii="Calibri" w:cs="Calibri" w:eastAsia="Calibri" w:hAnsi="Calibri"/>
          <w:b/>
          <w:bCs/>
        </w:rPr>
        <w:t xml:space="preserve">szerződéses kötelme</w:t>
      </w:r>
      <w:r>
        <w:rPr>
          <w:rFonts w:ascii="Calibri" w:cs="Calibri" w:eastAsia="Calibri" w:hAnsi="Calibri"/>
        </w:rPr>
        <w:t xml:space="preserve"> van a visszafizetésre [IAS 32.11, 16, 19]; a „valószínűleg képes lesz visszafizetni" a visszafizetés képességét, nem kötelmét írja le. ◆ Ha a visszafizetés a társaság döntésén múlik, tőkeelem marad.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3. Céltartalékok:</w:t>
      </w:r>
      <w:r>
        <w:rPr>
          <w:rFonts w:ascii="Calibri" w:cs="Calibri" w:eastAsia="Calibri" w:hAnsi="Calibri"/>
        </w:rPr>
        <w:t xml:space="preserve"> a becslés az áttérés napján nem módosítható később kapott információ alapján – a 400-as új becslés nem vehető figyelembe [IFRS 1.14–16]; a diszkontálás viszont számviteli politikai eltérés [IAS 37.45–47]: 600/1,1³ = 450,79. A garanciális céltartalék rövid lejáratú, a peres ügy hosszú lejáratú.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4. Anyavállalati kölcsön:</w:t>
      </w:r>
      <w:r>
        <w:rPr>
          <w:rFonts w:ascii="Calibri" w:cs="Calibri" w:eastAsia="Calibri" w:hAnsi="Calibri"/>
        </w:rPr>
        <w:t xml:space="preserve"> kezdeti megjelenítés valós értéken [IFRS 9.5.1.1, B5.1.1]; 240 × 3,7908 = 909,79. A kedvezmény (290,21) tulajdonosi hozzájárulás a saját tőkében. Az áttérés napja (2022.01.01.) gyakorlatilag a folyósítás napja, így letekeredés még nincs.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5. Leszerelési kötelem:</w:t>
      </w:r>
      <w:r>
        <w:rPr>
          <w:rFonts w:ascii="Calibri" w:cs="Calibri" w:eastAsia="Calibri" w:hAnsi="Calibri"/>
        </w:rPr>
        <w:t xml:space="preserve"> mentesítés nélkül teljes visszamenőleges IFRIC 1/IAS 16 [az IFRS 1.D21 mentesítést nem alkalmazza].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ARO 2020.01.01.: 20 × 0,2394 = 4,79;  letekeredés 2 év: 4,79 × 1,21 = 5,79 → 1,01 (kulcs 0,99 kerekítésből);  écs 4,79/15 × 2 = 0,64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6. Szabadság:</w:t>
      </w:r>
      <w:r>
        <w:rPr>
          <w:rFonts w:ascii="Calibri" w:cs="Calibri" w:eastAsia="Calibri" w:hAnsi="Calibri"/>
        </w:rPr>
        <w:t xml:space="preserve"> halmozódó, rövid távú juttatás → kötelezettség [IAS 19.13, 16].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7. Visszárú:</w:t>
      </w:r>
      <w:r>
        <w:rPr>
          <w:rFonts w:ascii="Calibri" w:cs="Calibri" w:eastAsia="Calibri" w:hAnsi="Calibri"/>
        </w:rPr>
        <w:t xml:space="preserve"> a várhatóan visszaküldött áru bevétele nem ismerhető el – visszatérítési kötelezettség 20, a visszaszerzési jog eszköz 13,5 [IFRS 15.B21].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8. Lízing:</w:t>
      </w:r>
      <w:r>
        <w:rPr>
          <w:rFonts w:ascii="Calibri" w:cs="Calibri" w:eastAsia="Calibri" w:hAnsi="Calibri"/>
        </w:rPr>
        <w:t xml:space="preserve"> a 2021-es bérleti díj (40) visszaírása, helyette écs és kamat; nettó ET-hatás −30,33 − 15,16 + 40 = −5,49.</w:t>
      </w:r>
    </w:p>
    <w:p>
      <w:pPr>
        <w:spacing w:after="20"/>
        <w:ind w:left="283"/>
      </w:pPr>
      <w:r>
        <w:rPr>
          <w:rFonts w:ascii="Consolas" w:cs="Consolas" w:eastAsia="Consolas" w:hAnsi="Consolas"/>
          <w:sz w:val="19"/>
          <w:szCs w:val="19"/>
        </w:rPr>
        <w:t xml:space="preserve">Lízing: PV = 40 × 3,7908 = 151,63;  2021: écs 30,33, kamat 15,16;  2021.12.31.: köt. 151,63 + 15,16 − 40 = 126,80;  ROU 151,63 − 30,33 = 121,31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00000" w:sz="12"/>
              <w:left w:val="single" w:color="C00000" w:sz="36"/>
              <w:bottom w:val="single" w:color="C00000" w:sz="12"/>
              <w:right w:val="single" w:color="C00000" w:sz="12"/>
            </w:tcBorders>
            <w:shd w:fill="FBE4E4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1"/>
                <w:szCs w:val="21"/>
              </w:rPr>
              <w:t xml:space="preserve">A kulcs lízingszámítása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kulcs „40 × 3,7908 = 151,16"-ot ír (helyesen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151,63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), a könyvelési tételben „75,816" szerepel (ennek a fele?), az écs viszont 151,63/5 = 30,33 – a kulcs belül sem következetes. A kamat 15,16 (kulcs: 15,12).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áttérés napján a nyitó állomány: használatijog-eszköz 121,31, lízingkötelezettség 126,80 (ebből 2022-ben esedékes tőkerész 40 − 12,68 = 27,32).</w:t>
            </w:r>
          </w:p>
        </w:tc>
      </w:tr>
    </w:tbl>
    <w:p>
      <w:pPr>
        <w:pStyle w:val="Heading2"/>
        <w:keepNext/>
        <w:spacing w:after="120" w:before="240"/>
      </w:pPr>
      <w:r>
        <w:rPr>
          <w:rFonts w:ascii="Calibri" w:cs="Calibri" w:eastAsia="Calibri" w:hAnsi="Calibri"/>
        </w:rPr>
        <w:t xml:space="preserve">4.2 Egyeztetések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15"/>
        <w:gridCol w:w="3915"/>
        <w:gridCol w:w="1808"/>
      </w:tblGrid>
      <w:tr>
        <w:trPr>
          <w:tblHeader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Egyeztetés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Időpont / időszak</w:t>
            </w: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Jogalap</w:t>
            </w:r>
          </w:p>
        </w:tc>
      </w:tr>
      <w:tr>
        <w:trPr>
          <w:tblHeader w:val="false"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Saját tőke: korábbi GAAP (Szt.) → IFRS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az áttérés napja (2022.01.01.) és az utolsó Szt. szerinti beszámoló fordulónapja (2022.12.31.)</w:t>
            </w: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1.24(a)</w:t>
            </w:r>
          </w:p>
        </w:tc>
      </w:tr>
      <w:tr>
        <w:trPr>
          <w:tblHeader w:val="false"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Teljes átfogó eredmény: Szt. → IFRS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az utolsó Szt. szerinti év (2022)</w:t>
            </w: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1.24(b)</w:t>
            </w:r>
          </w:p>
        </w:tc>
      </w:tr>
      <w:tr>
        <w:trPr>
          <w:tblHeader w:val="false"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Az első alkalmazás hatásának magyarázata (pénzügyi helyzet, teljesítmény, cash flow)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1.23, 25</w:t>
            </w:r>
          </w:p>
        </w:tc>
      </w:tr>
      <w:tr>
        <w:trPr>
          <w:tblHeader w:val="false"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Értékvesztés elszámolása/visszaírása a nyitómérlegben (ha volt)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áttérés napja</w:t>
            </w: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IFRS 1.24(c)</w:t>
            </w:r>
          </w:p>
        </w:tc>
      </w:tr>
      <w:tr>
        <w:trPr>
          <w:tblHeader w:val="false"/>
        </w:trPr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Saját tőke megfeleltetési tábla</w:t>
            </w:r>
          </w:p>
        </w:tc>
        <w:tc>
          <w:tcPr>
            <w:tcW w:type="dxa" w:w="391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minden IFRS-beszámolóban</w:t>
            </w:r>
          </w:p>
        </w:tc>
        <w:tc>
          <w:tcPr>
            <w:tcW w:type="dxa" w:w="1808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Szt. 114/B. §</w:t>
            </w:r>
          </w:p>
        </w:tc>
      </w:tr>
    </w:tbl>
    <w:p>
      <w:pPr>
        <w:spacing w:after="80"/>
      </w:pPr>
    </w:p>
    <w:p>
      <w:pPr>
        <w:pStyle w:val="Heading3"/>
        <w:keepNext/>
        <w:spacing w:after="80" w:before="180"/>
      </w:pPr>
      <w:r>
        <w:rPr>
          <w:rFonts w:ascii="Calibri" w:cs="Calibri" w:eastAsia="Calibri" w:hAnsi="Calibri"/>
        </w:rPr>
        <w:t xml:space="preserve">T–Z – A megoldókulcs ellenőrzése és 2027-es újraértékelés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3"/>
        <w:gridCol w:w="6725"/>
      </w:tblGrid>
      <w:tr>
        <w:trPr>
          <w:tblHeader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Ellenőrzési kérdés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Válasz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 – Eredeti (kulcs)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Weblap 10; lekötött tartalék → kötelezettség 200; céltartalék 149,2 + átsorolás; kölcsön 290,2; ARO 4,8 / 0,99 / 0,64; szabadság 11,375; visszárú 20 / 13,5; lízing 151,16 („75,816"), écs 30,33, kamat 15,12; egyeztetések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Akkor (a feladatlap standard-záradéka szerint)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Ma (2026)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2027-ben helyes?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Részben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Ha nem: miért?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 lízing jelenértéke és a könyvelési tétel hibás; a lekötött tartalék átsorolása feltevésen alapul.</w:t>
            </w:r>
          </w:p>
        </w:tc>
      </w:tr>
      <w:tr>
        <w:trPr>
          <w:tblHeader w:val="false"/>
        </w:trPr>
        <w:tc>
          <w:tcPr>
            <w:tcW w:type="dxa" w:w="2913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 – 2027-es helyes válasz</w:t>
            </w:r>
          </w:p>
        </w:tc>
        <w:tc>
          <w:tcPr>
            <w:tcW w:type="dxa" w:w="672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Lízing 151,63 / ROU 121,31 / köt. 126,80; a többi tétel elfogadható (◆ lekötött tartalék).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404040" w:sz="12"/>
              <w:left w:val="single" w:color="404040" w:sz="36"/>
              <w:bottom w:val="single" w:color="404040" w:sz="12"/>
              <w:right w:val="single" w:color="404040" w:sz="12"/>
            </w:tcBorders>
            <w:shd w:fill="F2F2F2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1"/>
                <w:szCs w:val="21"/>
              </w:rPr>
              <w:t xml:space="preserve">R–S – Tipikus hiba és vizsgatipp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áttérés napját 2023.01.01-re tenni – az összehasonlító év eleje (2022.01.01.) a helyes.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400-as új becslést alkalmazni – IFRS 1.14 tiltja.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kamatmentes anyavállalati kölcsön kedvezményét eredményként kezelni – tulajdonosi hozzájárulás.</w:t>
            </w:r>
          </w:p>
        </w:tc>
      </w:tr>
    </w:tbl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F06" w:sz="12"/>
              <w:left w:val="single" w:color="B45F06" w:sz="36"/>
              <w:bottom w:val="single" w:color="B45F06" w:sz="12"/>
              <w:right w:val="single" w:color="B45F06" w:sz="12"/>
            </w:tcBorders>
            <w:shd w:fill="FFF2CC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B45F06"/>
                <w:sz w:val="21"/>
                <w:szCs w:val="21"/>
              </w:rPr>
              <w:t xml:space="preserve">„Ha ezt a feladatot 2027-ben kapnám meg, ugyanígy válaszolnék?" → ATTÓL FÜGG</w:t>
            </w:r>
          </w:p>
          <w:p>
            <w:pPr>
              <w:spacing w:after="5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Az IFRS 1 érdemben változatlan. 2027-ben az első IFRS-beszámoló már IFRS 18 szerinti tagolású; ha az Újév nem nyilvános elszámolási kötelezettségű leány, és az IFRS 19-et az EU befogadta, a csökkentett közzétételek választhatók (a mérést nem érinti).</w:t>
            </w:r>
          </w:p>
        </w:tc>
      </w:tr>
    </w:tbl>
    <w:p>
      <w:pPr>
        <w:pStyle w:val="Heading1"/>
        <w:pageBreakBefore/>
        <w:spacing w:after="160"/>
      </w:pPr>
      <w:r>
        <w:rPr>
          <w:rFonts w:ascii="Calibri" w:cs="Calibri" w:eastAsia="Calibri" w:hAnsi="Calibri"/>
        </w:rPr>
        <w:t xml:space="preserve">5. Minőségbiztosítás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6426"/>
      </w:tblGrid>
      <w:tr>
        <w:trPr>
          <w:tblHeader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Kontroll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E2F3" w:color="auto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Eredmény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 mérleg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Eszközök 15 344,15 = források 15 344,15 ✔ (a változás 124,15 mindkét oldalon)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1/A eredmény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8,435 + 20 + 51,896 − 45 + 4,152 = 39,483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 mérleg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65 887 = saját tőke 22 636 + kötelezettségek 43 251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1/B NA-változás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8 070 − 7 700 = 370 = 400 ET − 30 écs ✔; NCI 20% × 8 070 = 1 614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2/A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köt. 283,32 − köv. 97,20 = 186,12 ✔; 200 − 186,12 = 13,88 = 21,98 − 8,1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3/B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1 600/7 900 = 20,25%; 4 800/7 900 = 60,76%; 6 000 − 5 104 = 896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3/C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21 × 4,1699 = 87,57; 19,25 × 4,2397 = 81,61 ✔</w:t>
            </w:r>
          </w:p>
        </w:tc>
      </w:tr>
      <w:tr>
        <w:trPr>
          <w:tblHeader w:val="false"/>
        </w:trPr>
        <w:tc>
          <w:tcPr>
            <w:tcW w:type="dxa" w:w="3212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4 lízing</w:t>
            </w:r>
          </w:p>
        </w:tc>
        <w:tc>
          <w:tcPr>
            <w:tcW w:type="dxa" w:w="6426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pPr>
              <w:spacing w:after="20"/>
              <w:jc w:val="left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151,63 × 1,1 − 40 = 126,80; 151,63 × 0,8 = 121,31 ✔</w:t>
            </w:r>
          </w:p>
        </w:tc>
      </w:tr>
    </w:tbl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Minden számot Pythonban újraszámoltam (2026.09.23.). A 2027-es standardállapot forrása: `IFRS_Standard_allapot_2027.md` (projekt).</w:t>
      </w:r>
    </w:p>
    <w:p>
      <w:pPr>
        <w:spacing w:after="100" w:before="0"/>
        <w:jc w:val="left"/>
      </w:pPr>
      <w:r>
        <w:rPr>
          <w:rFonts w:ascii="Calibri" w:cs="Calibri" w:eastAsia="Calibri" w:hAnsi="Calibri"/>
        </w:rPr>
        <w:t xml:space="preserve">Hivatkozott pontok: IAS 12.5, 7–8, 15, 24, 34–36, 47–48, 58, 61A, 74 · IAS 16.39–41 · IAS 19.13, 16 · IAS 21.21, 23, 28 · IAS 28.28 · IAS 32.11, 16, 19 · IAS 36.6, 18, 59, 104–105 · IAS 37.45–47, 63, 66–69, 72, 80–81 · IAS 38.54, 57, 65, 71, 107 · IAS 40.57, 61–62 · IFRIC 1 · IFRS 1.6–7, 11, 14–16, 21, 23–25, D21 · IFRS 2.10–11, 19–20 · IFRS 3.18–19, 23, 32, 37–39, 53, 56, 58 · IFRS 5.6–8, 15, 25, 38 · IFRS 9.4.1.4, 5.1.1, 5.3.1, 5.7.1, B5.1.1, B5.4.1–B5.4.2 · IFRS 10.B86 · IFRS 11.7, 20, B31–B32 · IFRS 15.22, 27, 35, 38, 50–57, 73–82, 91–95, 99, 105–107, B18–B21 · IFRS 16.12–19, 22–28, 61–63, 67–68, 70–71 · IFRS 18.53–61 · Szt. 114/B. §.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Oldal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08080"/>
        <w:sz w:val="16"/>
        <w:szCs w:val="16"/>
      </w:rPr>
      <w:t xml:space="preserve"> /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808080"/>
        <w:sz w:val="16"/>
        <w:szCs w:val="16"/>
      </w:rPr>
      <w:t xml:space="preserve">IFRS vizsgasor 2023.11.15 – kidolgozás, kulcsellenőrzés,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  <w:lvl w:ilvl="1" w15:tentative="1">
      <w:start w:val="1"/>
      <w:numFmt w:val="bullet"/>
      <w:lvlText w:val="–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Calibri" w:cs="Calibri" w:eastAsia="Calibri" w:hAnsi="Calibri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2E75B6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Calibri" w:cs="Calibri" w:eastAsia="Calibri" w:hAnsi="Calibri"/>
      <w:b/>
      <w:b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IFRS vizsgasor 2023.11.15 – kidolgozás</dc:title>
  <dc:creator>Claude (Cowork) – IFRS vizsgafelkészítő</dc:creator>
  <cp:lastModifiedBy>Un-named</cp:lastModifiedBy>
  <cp:revision>1</cp:revision>
  <dcterms:created xsi:type="dcterms:W3CDTF">2026-09-28T20:23:31.820Z</dcterms:created>
  <dcterms:modified xsi:type="dcterms:W3CDTF">2026-09-28T20:23:31.820Z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