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1600"/>
        <w:jc w:val="center"/>
      </w:pPr>
      <w:r>
        <w:rPr>
          <w:rFonts w:ascii="Arial" w:cs="Arial" w:eastAsia="Arial" w:hAnsi="Arial"/>
          <w:b/>
          <w:bCs/>
          <w:color w:val="1F3864"/>
          <w:sz w:val="26"/>
          <w:szCs w:val="26"/>
        </w:rPr>
        <w:t xml:space="preserve">MKVK – Számvitel és elemzés (a számvitel magyar szabályozása)</w:t>
      </w:r>
    </w:p>
    <w:p>
      <w:pPr>
        <w:spacing w:after="200"/>
        <w:jc w:val="center"/>
      </w:pPr>
      <w:r>
        <w:rPr>
          <w:rFonts w:ascii="Arial" w:cs="Arial" w:eastAsia="Arial" w:hAnsi="Arial"/>
          <w:b/>
          <w:bCs/>
          <w:sz w:val="40"/>
          <w:szCs w:val="40"/>
        </w:rPr>
        <w:t xml:space="preserve">Szóbeli vizsga – 2. tétel kidolgozása</w:t>
      </w:r>
    </w:p>
    <w:p>
      <w:pPr>
        <w:spacing w:after="500"/>
        <w:jc w:val="center"/>
      </w:pPr>
      <w:r>
        <w:rPr>
          <w:rFonts w:ascii="Arial" w:cs="Arial" w:eastAsia="Arial" w:hAnsi="Arial"/>
          <w:color w:val="404040"/>
          <w:sz w:val="22"/>
          <w:szCs w:val="22"/>
        </w:rPr>
        <w:t xml:space="preserve">Közös vezetésű és társult vállalkozás · valódiság · pénzügyi eszköz · beszámolási kötelezettség, éves és összevont (konszolidált) beszámoló · devizás értékelés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00"/>
        <w:gridCol w:w="7038"/>
      </w:tblGrid>
      <w:tr>
        <w:tc>
          <w:tcPr>
            <w:tcW w:type="dxa" w:w="26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b/>
                <w:bCs/>
              </w:rPr>
              <w:t xml:space="preserve">Tételsor forrása</w:t>
            </w:r>
          </w:p>
        </w:tc>
        <w:tc>
          <w:tcPr>
            <w:tcW w:type="dxa" w:w="7038"/>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OKKT – Az okleveles könyvvizsgálói képzés szóbeli vizsgakérdései, Számvitel és elemzés (számvitel magyar szabályozása), Budapest, 2025. szeptember 12.</w:t>
            </w:r>
          </w:p>
        </w:tc>
      </w:tr>
      <w:tr>
        <w:tc>
          <w:tcPr>
            <w:tcW w:type="dxa" w:w="2600"/>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b/>
                <w:bCs/>
              </w:rPr>
              <w:t xml:space="preserve">Referenciaév</w:t>
            </w:r>
          </w:p>
        </w:tc>
        <w:tc>
          <w:tcPr>
            <w:tcW w:type="dxa" w:w="7038"/>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2027 – a 2027-ben hatályos magyar szabályok</w:t>
            </w:r>
          </w:p>
        </w:tc>
      </w:tr>
      <w:tr>
        <w:tc>
          <w:tcPr>
            <w:tcW w:type="dxa" w:w="26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b/>
                <w:bCs/>
              </w:rPr>
              <w:t xml:space="preserve">Jogszabályi állapot</w:t>
            </w:r>
          </w:p>
        </w:tc>
        <w:tc>
          <w:tcPr>
            <w:tcW w:type="dxa" w:w="7038"/>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Szt. (2000. évi C. tv.) 2026. 02. 28-tól hatályos, nyitott végű időállapota – az njt-n 2026. 09. 27-én ellenőrizve: jövőbeli (2027-es) időállapot nincs közzétéve. A 2027-es módosítócsomag jellemzően november–decemberben jelenik meg → 2027 januárjában újraellenőrizendő.</w:t>
            </w:r>
          </w:p>
        </w:tc>
      </w:tr>
      <w:tr>
        <w:tc>
          <w:tcPr>
            <w:tcW w:type="dxa" w:w="2600"/>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b/>
                <w:bCs/>
              </w:rPr>
              <w:t xml:space="preserve">Jelölések</w:t>
            </w:r>
          </w:p>
        </w:tc>
        <w:tc>
          <w:tcPr>
            <w:tcW w:type="dxa" w:w="7038"/>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 = forrásszövegen még ellenőrizendő · ⟳ = 2027-re változott / változhat · ! = vizsgacsapda · [Szt. x. § (y)] = az njt hatályos szövegén ellenőrizve</w:t>
            </w:r>
          </w:p>
        </w:tc>
      </w:tr>
      <w:tr>
        <w:tc>
          <w:tcPr>
            <w:tcW w:type="dxa" w:w="26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b/>
                <w:bCs/>
              </w:rPr>
              <w:t xml:space="preserve">Használat</w:t>
            </w:r>
          </w:p>
        </w:tc>
        <w:tc>
          <w:tcPr>
            <w:tcW w:type="dxa" w:w="7038"/>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A „Mondd el így” dobozok a vizsgán elmondható szöveget adják; a táblázatok a háttérhez és a visszakérdezésekhez kellenek. Az 1 perces vázlat a tétel végén, közvetlenül a vizsga előtti ismétlésre.</w:t>
            </w:r>
          </w:p>
        </w:tc>
      </w:tr>
    </w:tbl>
    <w:p>
      <w:pPr>
        <w:pStyle w:val="Heading1"/>
        <w:pageBreakBefore/>
      </w:pPr>
      <w:r>
        <w:rPr>
          <w:rFonts w:ascii="Arial" w:cs="Arial" w:eastAsia="Arial" w:hAnsi="Arial"/>
        </w:rPr>
        <w:t xml:space="preserve">0. Áttekintés – mit húztam, mit mondok</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00"/>
        <w:gridCol w:w="3300"/>
        <w:gridCol w:w="2400"/>
        <w:gridCol w:w="2238"/>
        <w:gridCol w:w="1000"/>
      </w:tblGrid>
      <w:tr>
        <w:trPr>
          <w:tblHeader/>
        </w:trPr>
        <w:tc>
          <w:tcPr>
            <w:tcW w:type="dxa" w:w="700"/>
            <w:tcBorders>
              <w:top w:val="single" w:color="9AA5B1" w:sz="4"/>
              <w:left w:val="single" w:color="9AA5B1" w:sz="4"/>
              <w:bottom w:val="single" w:color="9AA5B1" w:sz="4"/>
              <w:right w:val="single" w:color="9AA5B1" w:sz="4"/>
            </w:tcBorders>
            <w:shd w:fill="1F3864" w:color="auto" w:val="clear"/>
            <w:tcMar>
              <w:top w:type="dxa" w:w="60"/>
              <w:left w:type="dxa" w:w="100"/>
              <w:bottom w:type="dxa" w:w="60"/>
              <w:right w:type="dxa" w:w="100"/>
            </w:tcMar>
          </w:tcPr>
          <w:p>
            <w:pPr>
              <w:spacing w:after="40"/>
            </w:pPr>
            <w:r>
              <w:rPr>
                <w:rFonts w:ascii="Arial" w:cs="Arial" w:eastAsia="Arial" w:hAnsi="Arial"/>
                <w:b/>
                <w:bCs/>
                <w:color w:val="FFFFFF"/>
              </w:rPr>
              <w:t xml:space="preserve">Rész</w:t>
            </w:r>
          </w:p>
        </w:tc>
        <w:tc>
          <w:tcPr>
            <w:tcW w:type="dxa" w:w="3300"/>
            <w:tcBorders>
              <w:top w:val="single" w:color="9AA5B1" w:sz="4"/>
              <w:left w:val="single" w:color="9AA5B1" w:sz="4"/>
              <w:bottom w:val="single" w:color="9AA5B1" w:sz="4"/>
              <w:right w:val="single" w:color="9AA5B1" w:sz="4"/>
            </w:tcBorders>
            <w:shd w:fill="1F3864" w:color="auto" w:val="clear"/>
            <w:tcMar>
              <w:top w:type="dxa" w:w="60"/>
              <w:left w:type="dxa" w:w="100"/>
              <w:bottom w:type="dxa" w:w="60"/>
              <w:right w:type="dxa" w:w="100"/>
            </w:tcMar>
          </w:tcPr>
          <w:p>
            <w:pPr>
              <w:spacing w:after="40"/>
            </w:pPr>
            <w:r>
              <w:rPr>
                <w:rFonts w:ascii="Arial" w:cs="Arial" w:eastAsia="Arial" w:hAnsi="Arial"/>
                <w:b/>
                <w:bCs/>
                <w:color w:val="FFFFFF"/>
              </w:rPr>
              <w:t xml:space="preserve">Téma</w:t>
            </w:r>
          </w:p>
        </w:tc>
        <w:tc>
          <w:tcPr>
            <w:tcW w:type="dxa" w:w="2400"/>
            <w:tcBorders>
              <w:top w:val="single" w:color="9AA5B1" w:sz="4"/>
              <w:left w:val="single" w:color="9AA5B1" w:sz="4"/>
              <w:bottom w:val="single" w:color="9AA5B1" w:sz="4"/>
              <w:right w:val="single" w:color="9AA5B1" w:sz="4"/>
            </w:tcBorders>
            <w:shd w:fill="1F3864" w:color="auto" w:val="clear"/>
            <w:tcMar>
              <w:top w:type="dxa" w:w="60"/>
              <w:left w:type="dxa" w:w="100"/>
              <w:bottom w:type="dxa" w:w="60"/>
              <w:right w:type="dxa" w:w="100"/>
            </w:tcMar>
          </w:tcPr>
          <w:p>
            <w:pPr>
              <w:spacing w:after="40"/>
            </w:pPr>
            <w:r>
              <w:rPr>
                <w:rFonts w:ascii="Arial" w:cs="Arial" w:eastAsia="Arial" w:hAnsi="Arial"/>
                <w:b/>
                <w:bCs/>
                <w:color w:val="FFFFFF"/>
              </w:rPr>
              <w:t xml:space="preserve">Fő jogforrás</w:t>
            </w:r>
          </w:p>
        </w:tc>
        <w:tc>
          <w:tcPr>
            <w:tcW w:type="dxa" w:w="2238"/>
            <w:tcBorders>
              <w:top w:val="single" w:color="9AA5B1" w:sz="4"/>
              <w:left w:val="single" w:color="9AA5B1" w:sz="4"/>
              <w:bottom w:val="single" w:color="9AA5B1" w:sz="4"/>
              <w:right w:val="single" w:color="9AA5B1" w:sz="4"/>
            </w:tcBorders>
            <w:shd w:fill="1F3864" w:color="auto" w:val="clear"/>
            <w:tcMar>
              <w:top w:type="dxa" w:w="60"/>
              <w:left w:type="dxa" w:w="100"/>
              <w:bottom w:type="dxa" w:w="60"/>
              <w:right w:type="dxa" w:w="100"/>
            </w:tcMar>
          </w:tcPr>
          <w:p>
            <w:pPr>
              <w:spacing w:after="40"/>
            </w:pPr>
            <w:r>
              <w:rPr>
                <w:rFonts w:ascii="Arial" w:cs="Arial" w:eastAsia="Arial" w:hAnsi="Arial"/>
                <w:b/>
                <w:bCs/>
                <w:color w:val="FFFFFF"/>
              </w:rPr>
              <w:t xml:space="preserve">2027-es státusz</w:t>
            </w:r>
          </w:p>
        </w:tc>
        <w:tc>
          <w:tcPr>
            <w:tcW w:type="dxa" w:w="1000"/>
            <w:tcBorders>
              <w:top w:val="single" w:color="9AA5B1" w:sz="4"/>
              <w:left w:val="single" w:color="9AA5B1" w:sz="4"/>
              <w:bottom w:val="single" w:color="9AA5B1" w:sz="4"/>
              <w:right w:val="single" w:color="9AA5B1" w:sz="4"/>
            </w:tcBorders>
            <w:shd w:fill="1F3864" w:color="auto" w:val="clear"/>
            <w:tcMar>
              <w:top w:type="dxa" w:w="60"/>
              <w:left w:type="dxa" w:w="100"/>
              <w:bottom w:type="dxa" w:w="60"/>
              <w:right w:type="dxa" w:w="100"/>
            </w:tcMar>
          </w:tcPr>
          <w:p>
            <w:pPr>
              <w:spacing w:after="40"/>
            </w:pPr>
            <w:r>
              <w:rPr>
                <w:rFonts w:ascii="Arial" w:cs="Arial" w:eastAsia="Arial" w:hAnsi="Arial"/>
                <w:b/>
                <w:bCs/>
                <w:color w:val="FFFFFF"/>
              </w:rPr>
              <w:t xml:space="preserve">Idő</w:t>
            </w:r>
          </w:p>
        </w:tc>
      </w:tr>
      <w:tr>
        <w:tc>
          <w:tcPr>
            <w:tcW w:type="dxa" w:w="7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a/1</w:t>
            </w:r>
          </w:p>
        </w:tc>
        <w:tc>
          <w:tcPr>
            <w:tcW w:type="dxa" w:w="33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Közös vezetésű vállalat és társult vállalkozás</w:t>
            </w:r>
          </w:p>
        </w:tc>
        <w:tc>
          <w:tcPr>
            <w:tcW w:type="dxa" w:w="24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Szt. 3. § (2) 3., 4., 4a.; 128–130. §</w:t>
            </w:r>
          </w:p>
        </w:tc>
        <w:tc>
          <w:tcPr>
            <w:tcW w:type="dxa" w:w="2238"/>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változatlan</w:t>
            </w:r>
          </w:p>
        </w:tc>
        <w:tc>
          <w:tcPr>
            <w:tcW w:type="dxa" w:w="10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~1,5 p</w:t>
            </w:r>
          </w:p>
        </w:tc>
      </w:tr>
      <w:tr>
        <w:tc>
          <w:tcPr>
            <w:tcW w:type="dxa" w:w="700"/>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a/2</w:t>
            </w:r>
          </w:p>
        </w:tc>
        <w:tc>
          <w:tcPr>
            <w:tcW w:type="dxa" w:w="3300"/>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Valódiság alapelve</w:t>
            </w:r>
          </w:p>
        </w:tc>
        <w:tc>
          <w:tcPr>
            <w:tcW w:type="dxa" w:w="2400"/>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Szt. 15. § (3)</w:t>
            </w:r>
          </w:p>
        </w:tc>
        <w:tc>
          <w:tcPr>
            <w:tcW w:type="dxa" w:w="2238"/>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változatlan</w:t>
            </w:r>
          </w:p>
        </w:tc>
        <w:tc>
          <w:tcPr>
            <w:tcW w:type="dxa" w:w="1000"/>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~1 p</w:t>
            </w:r>
          </w:p>
        </w:tc>
      </w:tr>
      <w:tr>
        <w:tc>
          <w:tcPr>
            <w:tcW w:type="dxa" w:w="7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a/3</w:t>
            </w:r>
          </w:p>
        </w:tc>
        <w:tc>
          <w:tcPr>
            <w:tcW w:type="dxa" w:w="33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Pénzügyi eszköz</w:t>
            </w:r>
          </w:p>
        </w:tc>
        <w:tc>
          <w:tcPr>
            <w:tcW w:type="dxa" w:w="24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Szt. 3. § (9) 1.</w:t>
            </w:r>
          </w:p>
        </w:tc>
        <w:tc>
          <w:tcPr>
            <w:tcW w:type="dxa" w:w="2238"/>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változatlan</w:t>
            </w:r>
          </w:p>
        </w:tc>
        <w:tc>
          <w:tcPr>
            <w:tcW w:type="dxa" w:w="10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~1 p</w:t>
            </w:r>
          </w:p>
        </w:tc>
      </w:tr>
      <w:tr>
        <w:tc>
          <w:tcPr>
            <w:tcW w:type="dxa" w:w="700"/>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b</w:t>
            </w:r>
          </w:p>
        </w:tc>
        <w:tc>
          <w:tcPr>
            <w:tcW w:type="dxa" w:w="3300"/>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Beszámolási kötelezettség; éves és összevont (konszolidált) beszámoló</w:t>
            </w:r>
          </w:p>
        </w:tc>
        <w:tc>
          <w:tcPr>
            <w:tcW w:type="dxa" w:w="2400"/>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Szt. 4., 8–11., 17–20., 88., 95., 115–120., 153–155. §</w:t>
            </w:r>
          </w:p>
        </w:tc>
        <w:tc>
          <w:tcPr>
            <w:tcW w:type="dxa" w:w="2238"/>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értékhatárok: 2025-től, ill. a mikrónál 2026-tól emelve; ⟳ IFRS 18 – a Szt. 114/A. § még IAS 1-re hivatkozik</w:t>
            </w:r>
          </w:p>
        </w:tc>
        <w:tc>
          <w:tcPr>
            <w:tcW w:type="dxa" w:w="1000"/>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~12–15 p</w:t>
            </w:r>
          </w:p>
        </w:tc>
      </w:tr>
      <w:tr>
        <w:tc>
          <w:tcPr>
            <w:tcW w:type="dxa" w:w="7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c</w:t>
            </w:r>
          </w:p>
        </w:tc>
        <w:tc>
          <w:tcPr>
            <w:tcW w:type="dxa" w:w="33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Devizás értékelés</w:t>
            </w:r>
          </w:p>
        </w:tc>
        <w:tc>
          <w:tcPr>
            <w:tcW w:type="dxa" w:w="24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Szt. 60. §, 47. § (4) c), 54. § (7), 68. §, 75. § (7), 84. § (7) f)–g), 85. § (3) f)–g)</w:t>
            </w:r>
          </w:p>
        </w:tc>
        <w:tc>
          <w:tcPr>
            <w:tcW w:type="dxa" w:w="2238"/>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nincs azonosított változás</w:t>
            </w:r>
          </w:p>
        </w:tc>
        <w:tc>
          <w:tcPr>
            <w:tcW w:type="dxa" w:w="10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~8–10 p</w:t>
            </w:r>
          </w:p>
        </w:tc>
      </w:tr>
    </w:tbl>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B00020" w:sz="12"/>
              <w:left w:val="single" w:color="B00020" w:sz="12"/>
              <w:bottom w:val="single" w:color="B00020" w:sz="12"/>
              <w:right w:val="single" w:color="B00020" w:sz="12"/>
            </w:tcBorders>
            <w:shd w:fill="FDECEA" w:color="auto" w:val="clear"/>
            <w:tcMar>
              <w:top w:type="dxa" w:w="120"/>
              <w:left w:type="dxa" w:w="160"/>
              <w:bottom w:type="dxa" w:w="120"/>
              <w:right w:type="dxa" w:w="160"/>
            </w:tcMar>
          </w:tcPr>
          <w:p>
            <w:pPr>
              <w:spacing w:after="80"/>
            </w:pPr>
            <w:r>
              <w:rPr>
                <w:rFonts w:ascii="Arial" w:cs="Arial" w:eastAsia="Arial" w:hAnsi="Arial"/>
                <w:b/>
                <w:bCs/>
                <w:color w:val="B00020"/>
              </w:rPr>
              <w:t xml:space="preserve">! Figyelem – eltérés, pontosítás a hivatalos tételszöveghez képest</w:t>
            </w:r>
          </w:p>
          <w:p>
            <w:pPr>
              <w:spacing w:after="80" w:line="276"/>
            </w:pPr>
            <w:r>
              <w:rPr>
                <w:rFonts w:ascii="Arial" w:cs="Arial" w:eastAsia="Arial" w:hAnsi="Arial"/>
                <w:b/>
                <w:bCs/>
              </w:rPr>
              <w:t xml:space="preserve">a/1:</w:t>
            </w:r>
            <w:r>
              <w:rPr>
                <w:rFonts w:ascii="Arial" w:cs="Arial" w:eastAsia="Arial" w:hAnsi="Arial"/>
              </w:rPr>
              <w:t xml:space="preserve"> a tétel „közös vezetésű </w:t>
            </w:r>
            <w:r>
              <w:rPr>
                <w:rFonts w:ascii="Arial" w:cs="Arial" w:eastAsia="Arial" w:hAnsi="Arial"/>
                <w:b/>
                <w:bCs/>
              </w:rPr>
              <w:t xml:space="preserve">vállalat</w:t>
            </w:r>
            <w:r>
              <w:rPr>
                <w:rFonts w:ascii="Arial" w:cs="Arial" w:eastAsia="Arial" w:hAnsi="Arial"/>
              </w:rPr>
              <w:t xml:space="preserve">”-ot ír, a Szt. fogalma „közös vezetésű </w:t>
            </w:r>
            <w:r>
              <w:rPr>
                <w:rFonts w:ascii="Arial" w:cs="Arial" w:eastAsia="Arial" w:hAnsi="Arial"/>
                <w:b/>
                <w:bCs/>
              </w:rPr>
              <w:t xml:space="preserve">vállalkozás</w:t>
            </w:r>
            <w:r>
              <w:rPr>
                <w:rFonts w:ascii="Arial" w:cs="Arial" w:eastAsia="Arial" w:hAnsi="Arial"/>
              </w:rPr>
              <w:t xml:space="preserve">” [3. § (2) 3.].</w:t>
            </w:r>
          </w:p>
          <w:p>
            <w:pPr>
              <w:spacing w:after="80" w:line="276"/>
            </w:pPr>
            <w:r>
              <w:rPr>
                <w:rFonts w:ascii="Arial" w:cs="Arial" w:eastAsia="Arial" w:hAnsi="Arial"/>
                <w:b/>
                <w:bCs/>
              </w:rPr>
              <w:t xml:space="preserve">b ⟳ 2027:</w:t>
            </w:r>
            <w:r>
              <w:rPr>
                <w:rFonts w:ascii="Arial" w:cs="Arial" w:eastAsia="Arial" w:hAnsi="Arial"/>
              </w:rPr>
              <w:t xml:space="preserve"> az IFRS szerint beszámoló magyar gazdálkodókra vonatkozó Szt.-fejezet [114/A. §] ma még az IAS 1-re hivatkozik (mérleg, eredménykimutatás fogalma), amelyet 2027. 01. 01-jétől az EU-ban az IFRS 18 vált fel. A Szt. módosítása 2026. 09. 27-ig nem jelent meg → ◆ 2027 januárjában ellenőrizendő.</w:t>
            </w:r>
          </w:p>
        </w:tc>
      </w:tr>
    </w:tbl>
    <w:p>
      <w:pPr>
        <w:pStyle w:val="Heading1"/>
      </w:pPr>
      <w:r>
        <w:rPr>
          <w:rFonts w:ascii="Arial" w:cs="Arial" w:eastAsia="Arial" w:hAnsi="Arial"/>
        </w:rPr>
        <w:t xml:space="preserve">I. Az eredeti MKVK-tétel (szó szerint)</w:t>
      </w:r>
    </w:p>
    <w:p>
      <w:pPr>
        <w:spacing w:after="100" w:line="276"/>
      </w:pPr>
      <w:r>
        <w:rPr>
          <w:rFonts w:ascii="Arial" w:cs="Arial" w:eastAsia="Arial" w:hAnsi="Arial"/>
          <w:b/>
          <w:bCs/>
        </w:rPr>
        <w:t xml:space="preserve">2. a) Fogalmak:</w:t>
      </w:r>
    </w:p>
    <w:p>
      <w:pPr>
        <w:pStyle w:val="ListParagraph"/>
        <w:numPr>
          <w:ilvl w:val="0"/>
          <w:numId w:val="2"/>
        </w:numPr>
        <w:spacing w:after="60" w:line="264"/>
      </w:pPr>
      <w:r>
        <w:rPr>
          <w:rFonts w:ascii="Arial" w:cs="Arial" w:eastAsia="Arial" w:hAnsi="Arial"/>
        </w:rPr>
        <w:t xml:space="preserve">közös vezetésű vállalat és társult vállalkozás</w:t>
      </w:r>
    </w:p>
    <w:p>
      <w:pPr>
        <w:pStyle w:val="ListParagraph"/>
        <w:numPr>
          <w:ilvl w:val="0"/>
          <w:numId w:val="2"/>
        </w:numPr>
        <w:spacing w:after="60" w:line="264"/>
      </w:pPr>
      <w:r>
        <w:rPr>
          <w:rFonts w:ascii="Arial" w:cs="Arial" w:eastAsia="Arial" w:hAnsi="Arial"/>
        </w:rPr>
        <w:t xml:space="preserve">valódiság alapelve</w:t>
      </w:r>
    </w:p>
    <w:p>
      <w:pPr>
        <w:pStyle w:val="ListParagraph"/>
        <w:numPr>
          <w:ilvl w:val="0"/>
          <w:numId w:val="2"/>
        </w:numPr>
        <w:spacing w:after="60" w:line="264"/>
      </w:pPr>
      <w:r>
        <w:rPr>
          <w:rFonts w:ascii="Arial" w:cs="Arial" w:eastAsia="Arial" w:hAnsi="Arial"/>
        </w:rPr>
        <w:t xml:space="preserve">pénzügyi eszköz</w:t>
      </w:r>
    </w:p>
    <w:p>
      <w:pPr>
        <w:spacing w:after="100" w:line="276"/>
      </w:pPr>
      <w:r>
        <w:rPr>
          <w:rFonts w:ascii="Arial" w:cs="Arial" w:eastAsia="Arial" w:hAnsi="Arial"/>
          <w:b/>
          <w:bCs/>
        </w:rPr>
        <w:t xml:space="preserve">b)</w:t>
      </w:r>
      <w:r>
        <w:rPr>
          <w:rFonts w:ascii="Arial" w:cs="Arial" w:eastAsia="Arial" w:hAnsi="Arial"/>
        </w:rPr>
        <w:t xml:space="preserve"> Beszámolási kötelezettség és a számviteli beszámolók. (Éves beszámoló, Összevont (konszolidált) beszámoló.)</w:t>
      </w:r>
    </w:p>
    <w:p>
      <w:pPr>
        <w:spacing w:after="100" w:line="276"/>
      </w:pPr>
      <w:r>
        <w:rPr>
          <w:rFonts w:ascii="Arial" w:cs="Arial" w:eastAsia="Arial" w:hAnsi="Arial"/>
          <w:b/>
          <w:bCs/>
        </w:rPr>
        <w:t xml:space="preserve">c)</w:t>
      </w:r>
      <w:r>
        <w:rPr>
          <w:rFonts w:ascii="Arial" w:cs="Arial" w:eastAsia="Arial" w:hAnsi="Arial"/>
        </w:rPr>
        <w:t xml:space="preserve"> Devizás értékelés.</w:t>
      </w:r>
    </w:p>
    <w:p>
      <w:pPr>
        <w:pStyle w:val="Heading1"/>
        <w:pageBreakBefore/>
      </w:pPr>
      <w:r>
        <w:rPr>
          <w:rFonts w:ascii="Arial" w:cs="Arial" w:eastAsia="Arial" w:hAnsi="Arial"/>
        </w:rPr>
        <w:t xml:space="preserve">A. Fogalmak (a) rész)</w:t>
      </w:r>
    </w:p>
    <w:p>
      <w:pPr>
        <w:spacing w:after="100" w:line="276"/>
      </w:pPr>
      <w:r>
        <w:rPr>
          <w:rFonts w:ascii="Arial" w:cs="Arial" w:eastAsia="Arial" w:hAnsi="Arial"/>
          <w:i/>
          <w:iCs/>
          <w:color w:val="595959"/>
        </w:rPr>
        <w:t xml:space="preserve">A tételsor szerint: „a tételben megfogalmazott fogalmak, szakkifejezések tömör, lényegi meghatározását, értelmezését, jellemzőit kell (röviden) megfogalmazni.” Fogalmanként kb. 1–2 perc.</w:t>
      </w:r>
    </w:p>
    <w:p>
      <w:pPr>
        <w:pStyle w:val="Heading2"/>
      </w:pPr>
      <w:r>
        <w:rPr>
          <w:rFonts w:ascii="Arial" w:cs="Arial" w:eastAsia="Arial" w:hAnsi="Arial"/>
        </w:rPr>
        <w:t xml:space="preserve">A/1. Közös vezetésű vállalkozás és társult vállalkozás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00"/>
        <w:gridCol w:w="7238"/>
      </w:tblGrid>
      <w:tr>
        <w:tc>
          <w:tcPr>
            <w:tcW w:type="dxa" w:w="24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b/>
                <w:bCs/>
              </w:rPr>
              <w:t xml:space="preserve">Jogforrás</w:t>
            </w:r>
          </w:p>
        </w:tc>
        <w:tc>
          <w:tcPr>
            <w:tcW w:type="dxa" w:w="7238"/>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Szt. 3. § (2) 3., 4., 4a.; konszolidálás: 128. § (arányos), 129–130. § (társult)</w:t>
            </w:r>
          </w:p>
        </w:tc>
      </w:tr>
      <w:tr>
        <w:tc>
          <w:tcPr>
            <w:tcW w:type="dxa" w:w="2400"/>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b/>
                <w:bCs/>
              </w:rPr>
              <w:t xml:space="preserve">Törvényi szöveg</w:t>
            </w:r>
          </w:p>
        </w:tc>
        <w:tc>
          <w:tcPr>
            <w:tcW w:type="dxa" w:w="7238"/>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b/>
                <w:bCs/>
              </w:rPr>
              <w:t xml:space="preserve">Közös vezetésű vállalkozás:</w:t>
            </w:r>
            <w:r>
              <w:rPr>
                <w:rFonts w:ascii="Arial" w:cs="Arial" w:eastAsia="Arial" w:hAnsi="Arial"/>
              </w:rPr>
              <w:t xml:space="preserve"> „az a gazdasági társaság, ahol egyrészt az anyavállalat (az anyavállalat konszolidálásba bevont leányvállalata), másrészt egy (vagy több) másik vállalkozás az 1. pont szerinti jogosultságokkal paritásos alapon – legalább 33 százalékos szavazati aránnyal – rendelkezik. A közös vezetésű vállalkozást a tulajdonostársak közösen irányítják.”</w:t>
            </w:r>
          </w:p>
          <w:p>
            <w:pPr>
              <w:spacing w:after="40"/>
            </w:pPr>
            <w:r>
              <w:rPr>
                <w:rFonts w:ascii="Arial" w:cs="Arial" w:eastAsia="Arial" w:hAnsi="Arial"/>
                <w:b/>
                <w:bCs/>
              </w:rPr>
              <w:t xml:space="preserve">Társult vállalkozás:</w:t>
            </w:r>
            <w:r>
              <w:rPr>
                <w:rFonts w:ascii="Arial" w:cs="Arial" w:eastAsia="Arial" w:hAnsi="Arial"/>
              </w:rPr>
              <w:t xml:space="preserve"> „az a – konszolidálásba teljeskörűen be nem vont – gazdasági társaság, ahol az anyavállalat vagy a konszolidálásba bevont leányvállalata a 9. pont szerinti jelentős tulajdoni részesedéssel rendelkezik, és mértékadó befolyást gyakorol a gazdasági társaság üzleti és pénzügyi politikájára.”</w:t>
            </w:r>
          </w:p>
          <w:p>
            <w:pPr>
              <w:spacing w:after="40"/>
            </w:pPr>
            <w:r>
              <w:rPr>
                <w:rFonts w:ascii="Arial" w:cs="Arial" w:eastAsia="Arial" w:hAnsi="Arial"/>
                <w:b/>
                <w:bCs/>
              </w:rPr>
              <w:t xml:space="preserve">Mértékadó befolyást gyakorló</w:t>
            </w:r>
            <w:r>
              <w:rPr>
                <w:rFonts w:ascii="Arial" w:cs="Arial" w:eastAsia="Arial" w:hAnsi="Arial"/>
              </w:rPr>
              <w:t xml:space="preserve"> [4a.]: az a vállalkozás, amely egy másik gazdasági társaságnál legalább a szavazatok – a 115. § (4) szerinti számítással – </w:t>
            </w:r>
            <w:r>
              <w:rPr>
                <w:rFonts w:ascii="Arial" w:cs="Arial" w:eastAsia="Arial" w:hAnsi="Arial"/>
                <w:b/>
                <w:bCs/>
              </w:rPr>
              <w:t xml:space="preserve">20 százalékával</w:t>
            </w:r>
            <w:r>
              <w:rPr>
                <w:rFonts w:ascii="Arial" w:cs="Arial" w:eastAsia="Arial" w:hAnsi="Arial"/>
              </w:rPr>
              <w:t xml:space="preserve"> közvetlenül vagy közvetetten rendelkezik. </w:t>
            </w:r>
            <w:r>
              <w:rPr>
                <w:rFonts w:ascii="Arial" w:cs="Arial" w:eastAsia="Arial" w:hAnsi="Arial"/>
                <w:b/>
                <w:bCs/>
              </w:rPr>
              <w:t xml:space="preserve">Jelentős tulajdoni részesedés</w:t>
            </w:r>
            <w:r>
              <w:rPr>
                <w:rFonts w:ascii="Arial" w:cs="Arial" w:eastAsia="Arial" w:hAnsi="Arial"/>
              </w:rPr>
              <w:t xml:space="preserve"> [9.]: tartós kapcsolatra irányuló, </w:t>
            </w:r>
            <w:r>
              <w:rPr>
                <w:rFonts w:ascii="Arial" w:cs="Arial" w:eastAsia="Arial" w:hAnsi="Arial"/>
                <w:b/>
                <w:bCs/>
              </w:rPr>
              <w:t xml:space="preserve">20 százalékot meghaladó</w:t>
            </w:r>
            <w:r>
              <w:rPr>
                <w:rFonts w:ascii="Arial" w:cs="Arial" w:eastAsia="Arial" w:hAnsi="Arial"/>
              </w:rPr>
              <w:t xml:space="preserve"> részesedés.</w:t>
            </w:r>
          </w:p>
        </w:tc>
      </w:tr>
      <w:tr>
        <w:tc>
          <w:tcPr>
            <w:tcW w:type="dxa" w:w="24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b/>
                <w:bCs/>
              </w:rPr>
              <w:t xml:space="preserve">Magyarázat</w:t>
            </w:r>
          </w:p>
        </w:tc>
        <w:tc>
          <w:tcPr>
            <w:tcW w:type="dxa" w:w="7238"/>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Mindkettő a konszolidálás fogalma. A közös vezetésnél nincs egyedüli ellenőrzés: a felek </w:t>
            </w:r>
            <w:r>
              <w:rPr>
                <w:rFonts w:ascii="Arial" w:cs="Arial" w:eastAsia="Arial" w:hAnsi="Arial"/>
                <w:b/>
                <w:bCs/>
              </w:rPr>
              <w:t xml:space="preserve">paritásos alapon</w:t>
            </w:r>
            <w:r>
              <w:rPr>
                <w:rFonts w:ascii="Arial" w:cs="Arial" w:eastAsia="Arial" w:hAnsi="Arial"/>
              </w:rPr>
              <w:t xml:space="preserve">, közösen irányítanak (legalább 33%-os szavazattal). A társultnál nincs ellenőrzés, csak </w:t>
            </w:r>
            <w:r>
              <w:rPr>
                <w:rFonts w:ascii="Arial" w:cs="Arial" w:eastAsia="Arial" w:hAnsi="Arial"/>
                <w:b/>
                <w:bCs/>
              </w:rPr>
              <w:t xml:space="preserve">mértékadó befolyás</w:t>
            </w:r>
            <w:r>
              <w:rPr>
                <w:rFonts w:ascii="Arial" w:cs="Arial" w:eastAsia="Arial" w:hAnsi="Arial"/>
              </w:rPr>
              <w:t xml:space="preserve"> (a szavazatok legalább 20%-a) jelentős, 20% feletti részesedéssel. Konszolidálás: a közös vezetésűt a tőkerészesedés arányában (arányos konszolidálás) [128. § (1)], vagy ha az egységes értékelés nem biztosítható, a társultakra vonatkozó szabályok szerint [128. § (2)]; a társultat külön soron, tőkeegyenlítéssel [129–130. §].</w:t>
            </w:r>
          </w:p>
        </w:tc>
      </w:tr>
      <w:tr>
        <w:tc>
          <w:tcPr>
            <w:tcW w:type="dxa" w:w="2400"/>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b/>
                <w:bCs/>
              </w:rPr>
              <w:t xml:space="preserve">Vizsgán mondható definíció</w:t>
            </w:r>
          </w:p>
        </w:tc>
        <w:tc>
          <w:tcPr>
            <w:tcW w:type="dxa" w:w="7238"/>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„Közös vezetésű vállalkozás az a gazdasági társaság, amelyben az anyavállalat vagy konszolidált leányvállalata egy vagy több másik vállalkozással paritásos alapon, legalább 33 százalékos szavazati aránnyal rendelkezik, és amelyet a tulajdonostársak közösen irányítanak. Társult vállalkozás az a teljeskörűen nem konszolidált gazdasági társaság, amelyben az anyavállalat vagy konszolidált leányvállalata 20 százalékot meghaladó, tartós, jelentős tulajdoni részesedéssel rendelkezik, és mértékadó befolyást gyakorol az üzleti és pénzügyi politikájára. A közös vezetésűt a konszolidálásban arányosan, a társultat tőkeegyenlítéssel, külön soron kell bevonni.”</w:t>
            </w:r>
          </w:p>
        </w:tc>
      </w:tr>
      <w:tr>
        <w:tc>
          <w:tcPr>
            <w:tcW w:type="dxa" w:w="24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b/>
                <w:bCs/>
              </w:rPr>
              <w:t xml:space="preserve">Példa</w:t>
            </w:r>
          </w:p>
        </w:tc>
        <w:tc>
          <w:tcPr>
            <w:tcW w:type="dxa" w:w="7238"/>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A Zrt. és B Zrt. 50–50%-ban alapítja C Kft.-t, közös irányítással → C közös vezetésű. A Zrt. 25%-os, tartós részesedést szerez D Kft.-ben, és egy tagot delegál az igazgatóságba → D társult vállalkozás.</w:t>
            </w:r>
          </w:p>
        </w:tc>
      </w:tr>
      <w:tr>
        <w:tc>
          <w:tcPr>
            <w:tcW w:type="dxa" w:w="2400"/>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b/>
                <w:bCs/>
              </w:rPr>
              <w:t xml:space="preserve">Kapcsolódik</w:t>
            </w:r>
          </w:p>
        </w:tc>
        <w:tc>
          <w:tcPr>
            <w:tcW w:type="dxa" w:w="7238"/>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Anya- és leányvállalat (1/a), egyéb részesedési viszony (3/a), kapcsolt vállalkozás (4/a), jelentős tulajdoni részesedés (37/a), tőkekonszolidálás (13/c).</w:t>
            </w:r>
          </w:p>
        </w:tc>
      </w:tr>
      <w:tr>
        <w:tc>
          <w:tcPr>
            <w:tcW w:type="dxa" w:w="24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b/>
                <w:bCs/>
              </w:rPr>
              <w:t xml:space="preserve">! Erre figyelj</w:t>
            </w:r>
          </w:p>
        </w:tc>
        <w:tc>
          <w:tcPr>
            <w:tcW w:type="dxa" w:w="7238"/>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A közös vezetésű vállalkozás </w:t>
            </w:r>
            <w:r>
              <w:rPr>
                <w:rFonts w:ascii="Arial" w:cs="Arial" w:eastAsia="Arial" w:hAnsi="Arial"/>
                <w:b/>
                <w:bCs/>
              </w:rPr>
              <w:t xml:space="preserve">nem</w:t>
            </w:r>
            <w:r>
              <w:rPr>
                <w:rFonts w:ascii="Arial" w:cs="Arial" w:eastAsia="Arial" w:hAnsi="Arial"/>
              </w:rPr>
              <w:t xml:space="preserve"> kapcsolt vállalkozás? – DE IGEN: a kapcsolt vállalkozás az anyavállalat és a 3. § (2) 2–3. pont szerinti vállalkozások, tehát a közös vezetésű is [3. § (2) 7.]; a társult viszont nem.</w:t>
            </w:r>
          </w:p>
          <w:p>
            <w:pPr>
              <w:spacing w:after="40"/>
            </w:pPr>
            <w:r>
              <w:rPr>
                <w:rFonts w:ascii="Arial" w:cs="Arial" w:eastAsia="Arial" w:hAnsi="Arial"/>
              </w:rPr>
              <w:t xml:space="preserve">Mértékadó befolyás: „legalább 20%” szavazat; jelentős tulajdoni részesedés: „20%-ot meghaladó” részesedés – eltérő küszöbmegfogalmazás!</w:t>
            </w:r>
          </w:p>
          <w:p>
            <w:pPr>
              <w:spacing w:after="40"/>
            </w:pPr>
            <w:r>
              <w:rPr>
                <w:rFonts w:ascii="Arial" w:cs="Arial" w:eastAsia="Arial" w:hAnsi="Arial"/>
              </w:rPr>
              <w:t xml:space="preserve">A társult definíciójában „konszolidálásba teljeskörűen be nem vont” – vagyis nem leányvállalat.</w:t>
            </w:r>
          </w:p>
        </w:tc>
      </w:tr>
    </w:tbl>
    <w:p>
      <w:pPr>
        <w:pStyle w:val="Heading2"/>
      </w:pPr>
      <w:r>
        <w:rPr>
          <w:rFonts w:ascii="Arial" w:cs="Arial" w:eastAsia="Arial" w:hAnsi="Arial"/>
        </w:rPr>
        <w:t xml:space="preserve">A/2. Valódiság alapelve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00"/>
        <w:gridCol w:w="7238"/>
      </w:tblGrid>
      <w:tr>
        <w:tc>
          <w:tcPr>
            <w:tcW w:type="dxa" w:w="24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b/>
                <w:bCs/>
              </w:rPr>
              <w:t xml:space="preserve">Jogforrás</w:t>
            </w:r>
          </w:p>
        </w:tc>
        <w:tc>
          <w:tcPr>
            <w:tcW w:type="dxa" w:w="7238"/>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Szt. 15. § (3)</w:t>
            </w:r>
          </w:p>
        </w:tc>
      </w:tr>
      <w:tr>
        <w:tc>
          <w:tcPr>
            <w:tcW w:type="dxa" w:w="2400"/>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b/>
                <w:bCs/>
              </w:rPr>
              <w:t xml:space="preserve">Törvényi szöveg</w:t>
            </w:r>
          </w:p>
        </w:tc>
        <w:tc>
          <w:tcPr>
            <w:tcW w:type="dxa" w:w="7238"/>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„A könyvvitelben rögzített és a beszámolóban szereplő tételeknek a valóságban is megtalálhatóknak, bizonyíthatóknak, kívülállók által is megállapíthatóknak kell lenniük. Értékelésük meg kell, hogy feleljen az e törvényben előírt értékelési elveknek és az azokhoz kapcsolódó értékelési eljárásoknak (a valódiság elve).”</w:t>
            </w:r>
          </w:p>
        </w:tc>
      </w:tr>
      <w:tr>
        <w:tc>
          <w:tcPr>
            <w:tcW w:type="dxa" w:w="24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b/>
                <w:bCs/>
              </w:rPr>
              <w:t xml:space="preserve">Magyarázat</w:t>
            </w:r>
          </w:p>
        </w:tc>
        <w:tc>
          <w:tcPr>
            <w:tcW w:type="dxa" w:w="7238"/>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Két eleme van: </w:t>
            </w:r>
            <w:r>
              <w:rPr>
                <w:rFonts w:ascii="Arial" w:cs="Arial" w:eastAsia="Arial" w:hAnsi="Arial"/>
                <w:b/>
                <w:bCs/>
              </w:rPr>
              <w:t xml:space="preserve">(1) létezés és bizonyíthatóság</w:t>
            </w:r>
            <w:r>
              <w:rPr>
                <w:rFonts w:ascii="Arial" w:cs="Arial" w:eastAsia="Arial" w:hAnsi="Arial"/>
              </w:rPr>
              <w:t xml:space="preserve"> – a tétel ténylegesen létezik, bizonylattal, leltárral alátámasztott, harmadik fél is ellenőrizheti; </w:t>
            </w:r>
            <w:r>
              <w:rPr>
                <w:rFonts w:ascii="Arial" w:cs="Arial" w:eastAsia="Arial" w:hAnsi="Arial"/>
                <w:b/>
                <w:bCs/>
              </w:rPr>
              <w:t xml:space="preserve">(2) szabályszerű értékelés</w:t>
            </w:r>
            <w:r>
              <w:rPr>
                <w:rFonts w:ascii="Arial" w:cs="Arial" w:eastAsia="Arial" w:hAnsi="Arial"/>
              </w:rPr>
              <w:t xml:space="preserve"> – a törvényi értékelési elvek és eljárások szerint. Eszközei: bizonylati rend, leltár (69. §), egyeztetés, könyvvizsgálat.</w:t>
            </w:r>
          </w:p>
        </w:tc>
      </w:tr>
      <w:tr>
        <w:tc>
          <w:tcPr>
            <w:tcW w:type="dxa" w:w="2400"/>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b/>
                <w:bCs/>
              </w:rPr>
              <w:t xml:space="preserve">Vizsgán mondható definíció</w:t>
            </w:r>
          </w:p>
        </w:tc>
        <w:tc>
          <w:tcPr>
            <w:tcW w:type="dxa" w:w="7238"/>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„A valódiság elve szerint a könyvvitelben és a beszámolóban szereplő tételeknek a valóságban is megtalálhatónak, bizonyíthatónak, kívülállók által is megállapíthatónak kell lenniük, és az értékelésüknek meg kell felelnie a törvényi értékelési elveknek és eljárásoknak. A gyakorlatban a bizonylati elv és a leltár biztosítja.”</w:t>
            </w:r>
          </w:p>
        </w:tc>
      </w:tr>
      <w:tr>
        <w:tc>
          <w:tcPr>
            <w:tcW w:type="dxa" w:w="24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b/>
                <w:bCs/>
              </w:rPr>
              <w:t xml:space="preserve">Példa</w:t>
            </w:r>
          </w:p>
        </w:tc>
        <w:tc>
          <w:tcPr>
            <w:tcW w:type="dxa" w:w="7238"/>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A mérlegben kimutatott 10 M Ft vevőkövetelést egyenlegközlő levél és számla támasztja alá, és a várhatóan meg nem térülő részre értékvesztést számoltak el → a tétel létezik és szabályszerűen értékelt.</w:t>
            </w:r>
          </w:p>
        </w:tc>
      </w:tr>
      <w:tr>
        <w:tc>
          <w:tcPr>
            <w:tcW w:type="dxa" w:w="2400"/>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b/>
                <w:bCs/>
              </w:rPr>
              <w:t xml:space="preserve">Kapcsolódik</w:t>
            </w:r>
          </w:p>
        </w:tc>
        <w:tc>
          <w:tcPr>
            <w:tcW w:type="dxa" w:w="7238"/>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Bizonylati elv (33/a), leltár, leltározás (27/a, 37/a), könyvvizsgálat (15/a).</w:t>
            </w:r>
          </w:p>
        </w:tc>
      </w:tr>
      <w:tr>
        <w:tc>
          <w:tcPr>
            <w:tcW w:type="dxa" w:w="24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b/>
                <w:bCs/>
              </w:rPr>
              <w:t xml:space="preserve">! Erre figyelj</w:t>
            </w:r>
          </w:p>
        </w:tc>
        <w:tc>
          <w:tcPr>
            <w:tcW w:type="dxa" w:w="7238"/>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Nem elég a létezés: a szabályszerű értékelés is a valódiság része.</w:t>
            </w:r>
          </w:p>
          <w:p>
            <w:pPr>
              <w:spacing w:after="40"/>
            </w:pPr>
            <w:r>
              <w:rPr>
                <w:rFonts w:ascii="Arial" w:cs="Arial" w:eastAsia="Arial" w:hAnsi="Arial"/>
              </w:rPr>
              <w:t xml:space="preserve">A „valós összkép” [4. § (2)] a beszámoló egészére, a valódiság az egyes tételekre vonatkozik.</w:t>
            </w:r>
          </w:p>
        </w:tc>
      </w:tr>
    </w:tbl>
    <w:p>
      <w:pPr>
        <w:pStyle w:val="Heading2"/>
      </w:pPr>
      <w:r>
        <w:rPr>
          <w:rFonts w:ascii="Arial" w:cs="Arial" w:eastAsia="Arial" w:hAnsi="Arial"/>
        </w:rPr>
        <w:t xml:space="preserve">A/3. Pénzügyi eszköz</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00"/>
        <w:gridCol w:w="7238"/>
      </w:tblGrid>
      <w:tr>
        <w:tc>
          <w:tcPr>
            <w:tcW w:type="dxa" w:w="24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b/>
                <w:bCs/>
              </w:rPr>
              <w:t xml:space="preserve">Jogforrás</w:t>
            </w:r>
          </w:p>
        </w:tc>
        <w:tc>
          <w:tcPr>
            <w:tcW w:type="dxa" w:w="7238"/>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Szt. 3. § (9) 1.; kapcsolódó: pénzügyi instrumentum 3. § (8) 3.</w:t>
            </w:r>
          </w:p>
        </w:tc>
      </w:tr>
      <w:tr>
        <w:tc>
          <w:tcPr>
            <w:tcW w:type="dxa" w:w="2400"/>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b/>
                <w:bCs/>
              </w:rPr>
              <w:t xml:space="preserve">Törvényi szöveg</w:t>
            </w:r>
          </w:p>
        </w:tc>
        <w:tc>
          <w:tcPr>
            <w:tcW w:type="dxa" w:w="7238"/>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„pénzügyi eszköz: a) a pénzeszköz, b) a szerződéses megállapodáson alapuló követelés pénzeszközök vagy egyéb pénzügyi eszközök más felektől való átvételére (ideértve a mérlegben szereplő követeléseket, hitelviszonyt megtestesítő értékpapírokat, valamint a származékos ügyleteket is), c) a szerződéses megállapodás alapján biztosított jog pénzügyi instrumentumoknak potenciálisan kedvező feltételek mellett történő cseréjére más felekkel (ideértve az opciós jog vevőjénél az opciós jog értékét), d) a más vállalkozó saját tőkéjét megtestesítő instrumentum (más vállalkozóban lévő tulajdoni részesedést jelentő befektetés)”.</w:t>
            </w:r>
          </w:p>
          <w:p>
            <w:pPr>
              <w:spacing w:after="40"/>
            </w:pPr>
            <w:r>
              <w:rPr>
                <w:rFonts w:ascii="Arial" w:cs="Arial" w:eastAsia="Arial" w:hAnsi="Arial"/>
              </w:rPr>
              <w:t xml:space="preserve">Pénzügyi instrumentum [3. § (8) 3.]: olyan szerződéses megállapodás, amelynek eredményeként az egyik félnél pénzügyi eszköz, a másik félnél pénzügyi kötelezettség vagy saját tőke (tőkeinstrumentum) keletkezik.</w:t>
            </w:r>
          </w:p>
        </w:tc>
      </w:tr>
      <w:tr>
        <w:tc>
          <w:tcPr>
            <w:tcW w:type="dxa" w:w="24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b/>
                <w:bCs/>
              </w:rPr>
              <w:t xml:space="preserve">Magyarázat</w:t>
            </w:r>
          </w:p>
        </w:tc>
        <w:tc>
          <w:tcPr>
            <w:tcW w:type="dxa" w:w="7238"/>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Négy csoport: </w:t>
            </w:r>
            <w:r>
              <w:rPr>
                <w:rFonts w:ascii="Arial" w:cs="Arial" w:eastAsia="Arial" w:hAnsi="Arial"/>
                <w:b/>
                <w:bCs/>
              </w:rPr>
              <w:t xml:space="preserve">pénzeszköz</w:t>
            </w:r>
            <w:r>
              <w:rPr>
                <w:rFonts w:ascii="Arial" w:cs="Arial" w:eastAsia="Arial" w:hAnsi="Arial"/>
              </w:rPr>
              <w:t xml:space="preserve">, </w:t>
            </w:r>
            <w:r>
              <w:rPr>
                <w:rFonts w:ascii="Arial" w:cs="Arial" w:eastAsia="Arial" w:hAnsi="Arial"/>
                <w:b/>
                <w:bCs/>
              </w:rPr>
              <w:t xml:space="preserve">szerződésen alapuló követelés</w:t>
            </w:r>
            <w:r>
              <w:rPr>
                <w:rFonts w:ascii="Arial" w:cs="Arial" w:eastAsia="Arial" w:hAnsi="Arial"/>
              </w:rPr>
              <w:t xml:space="preserve"> pénz vagy pénzügyi eszköz átvételére, </w:t>
            </w:r>
            <w:r>
              <w:rPr>
                <w:rFonts w:ascii="Arial" w:cs="Arial" w:eastAsia="Arial" w:hAnsi="Arial"/>
                <w:b/>
                <w:bCs/>
              </w:rPr>
              <w:t xml:space="preserve">kedvező cserére vonatkozó jog</w:t>
            </w:r>
            <w:r>
              <w:rPr>
                <w:rFonts w:ascii="Arial" w:cs="Arial" w:eastAsia="Arial" w:hAnsi="Arial"/>
              </w:rPr>
              <w:t xml:space="preserve"> (pl. vásárolt opció), </w:t>
            </w:r>
            <w:r>
              <w:rPr>
                <w:rFonts w:ascii="Arial" w:cs="Arial" w:eastAsia="Arial" w:hAnsi="Arial"/>
                <w:b/>
                <w:bCs/>
              </w:rPr>
              <w:t xml:space="preserve">más vállalkozó tőkeinstrumentuma</w:t>
            </w:r>
            <w:r>
              <w:rPr>
                <w:rFonts w:ascii="Arial" w:cs="Arial" w:eastAsia="Arial" w:hAnsi="Arial"/>
              </w:rPr>
              <w:t xml:space="preserve"> (részesedés). Nem pénzügyi eszköz például a készlet, a tárgyi eszköz, az adott előleg áru vagy szolgáltatás átvételére, a jogszabályon (nem szerződésen) alapuló követelés, pl. az adó-visszaigénylés.</w:t>
            </w:r>
          </w:p>
        </w:tc>
      </w:tr>
      <w:tr>
        <w:tc>
          <w:tcPr>
            <w:tcW w:type="dxa" w:w="2400"/>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b/>
                <w:bCs/>
              </w:rPr>
              <w:t xml:space="preserve">Vizsgán mondható definíció</w:t>
            </w:r>
          </w:p>
        </w:tc>
        <w:tc>
          <w:tcPr>
            <w:tcW w:type="dxa" w:w="7238"/>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„A Szt. szerint pénzügyi eszköz a pénzeszköz, a szerződésen alapuló követelés pénzeszköz vagy más pénzügyi eszköz átvételére – ide értve a követeléseket, a hitelviszonyt megtestesítő értékpapírokat és a származékos ügyleteket –, a szerződésen alapuló jog pénzügyi instrumentumok kedvező feltételek melletti cseréjére, például a vásárolt opció, és a más vállalkozó saját tőkéjét megtestesítő instrumentum, vagyis a részesedés.”</w:t>
            </w:r>
          </w:p>
        </w:tc>
      </w:tr>
      <w:tr>
        <w:tc>
          <w:tcPr>
            <w:tcW w:type="dxa" w:w="24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b/>
                <w:bCs/>
              </w:rPr>
              <w:t xml:space="preserve">Példa</w:t>
            </w:r>
          </w:p>
        </w:tc>
        <w:tc>
          <w:tcPr>
            <w:tcW w:type="dxa" w:w="7238"/>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Pénzügyi eszköz: bankbetét, vevőkövetelés, vásárolt kötvény, 10%-os részesedés, vásárolt vételi opció. Nem az: készlet, gép, beruházásra adott előleg, áfa-visszaigénylés.</w:t>
            </w:r>
          </w:p>
        </w:tc>
      </w:tr>
      <w:tr>
        <w:tc>
          <w:tcPr>
            <w:tcW w:type="dxa" w:w="2400"/>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b/>
                <w:bCs/>
              </w:rPr>
              <w:t xml:space="preserve">Kapcsolódik</w:t>
            </w:r>
          </w:p>
        </w:tc>
        <w:tc>
          <w:tcPr>
            <w:tcW w:type="dxa" w:w="7238"/>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Pénzügyi kötelezettség (3/a), befektetett pénzügyi eszközök (7/b), valós értékelés (20/c), elektronikus pénz (1/a).</w:t>
            </w:r>
          </w:p>
        </w:tc>
      </w:tr>
      <w:tr>
        <w:tc>
          <w:tcPr>
            <w:tcW w:type="dxa" w:w="24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b/>
                <w:bCs/>
              </w:rPr>
              <w:t xml:space="preserve">! Erre figyelj</w:t>
            </w:r>
          </w:p>
        </w:tc>
        <w:tc>
          <w:tcPr>
            <w:tcW w:type="dxa" w:w="7238"/>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A „szerződéses” jelző döntő: az adókövetelés nem pénzügyi eszköz.</w:t>
            </w:r>
          </w:p>
          <w:p>
            <w:pPr>
              <w:spacing w:after="40"/>
            </w:pPr>
            <w:r>
              <w:rPr>
                <w:rFonts w:ascii="Arial" w:cs="Arial" w:eastAsia="Arial" w:hAnsi="Arial"/>
              </w:rPr>
              <w:t xml:space="preserve">A saját részvény nem pénzügyi eszköz a d) pont szerint (az nem „más” vállalkozó tőkéje) – a Szt. mérlegében a forgóeszközök között szerepel (16/b).</w:t>
            </w:r>
          </w:p>
        </w:tc>
      </w:tr>
    </w:tbl>
    <w:p>
      <w:pPr>
        <w:pStyle w:val="Heading1"/>
        <w:pageBreakBefore/>
      </w:pPr>
      <w:r>
        <w:rPr>
          <w:rFonts w:ascii="Arial" w:cs="Arial" w:eastAsia="Arial" w:hAnsi="Arial"/>
        </w:rPr>
        <w:t xml:space="preserve">B. Beszámolási kötelezettség és a számviteli beszámolók. (Éves beszámoló, Összevont (konszolidált) beszámoló.)</w:t>
      </w:r>
    </w:p>
    <w:p>
      <w:pPr>
        <w:spacing w:after="100" w:line="276"/>
      </w:pPr>
      <w:r>
        <w:rPr>
          <w:rFonts w:ascii="Arial" w:cs="Arial" w:eastAsia="Arial" w:hAnsi="Arial"/>
          <w:i/>
          <w:iCs/>
          <w:color w:val="595959"/>
        </w:rPr>
        <w:t xml:space="preserve">A tételsor szerint a b) tételnél „a témakör részletes kifejtése szükséges”, kitérve a beszámolóval, bizonylatolással, könyvvezetéssel, számviteli politikával, szükség esetén a kiegészítő melléklettel, üzleti jelentéssel és a társasági adóval való összefüggésekre.</w:t>
      </w:r>
    </w:p>
    <w:p>
      <w:pPr>
        <w:pStyle w:val="Heading2"/>
      </w:pPr>
      <w:r>
        <w:rPr>
          <w:rFonts w:ascii="Arial" w:cs="Arial" w:eastAsia="Arial" w:hAnsi="Arial"/>
        </w:rPr>
        <w:t xml:space="preserve">II. 30 másodperces nyitás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1F3864" w:sz="12"/>
              <w:left w:val="single" w:color="1F3864" w:sz="12"/>
              <w:bottom w:val="single" w:color="1F3864" w:sz="12"/>
              <w:right w:val="single" w:color="1F3864" w:sz="12"/>
            </w:tcBorders>
            <w:shd w:fill="E8F1FB" w:color="auto" w:val="clear"/>
            <w:tcMar>
              <w:top w:type="dxa" w:w="120"/>
              <w:left w:type="dxa" w:w="160"/>
              <w:bottom w:type="dxa" w:w="120"/>
              <w:right w:type="dxa" w:w="160"/>
            </w:tcMar>
          </w:tcPr>
          <w:p>
            <w:pPr>
              <w:spacing w:after="80"/>
            </w:pPr>
            <w:r>
              <w:rPr>
                <w:rFonts w:ascii="Arial" w:cs="Arial" w:eastAsia="Arial" w:hAnsi="Arial"/>
                <w:b/>
                <w:bCs/>
                <w:color w:val="1F3864"/>
              </w:rPr>
              <w:t xml:space="preserve">Mondd el így – nyitás</w:t>
            </w:r>
          </w:p>
          <w:p>
            <w:pPr>
              <w:spacing w:after="80" w:line="276"/>
            </w:pPr>
            <w:r>
              <w:rPr>
                <w:rFonts w:ascii="Arial" w:cs="Arial" w:eastAsia="Arial" w:hAnsi="Arial"/>
              </w:rPr>
              <w:t xml:space="preserve">„A gazdálkodó köteles a működéséről, vagyoni, pénzügyi és jövedelmi helyzetéről az üzleti év könyveinek zárását követően, könyvvezetéssel alátámasztott, magyar nyelvű beszámolót készíteni, amely megbízható és valós összképet ad. A beszámoló formája – éves, egyszerűsített éves, mikrogazdálkodói vagy egyszerűsített beszámoló – a méret-határértékektől és a gazdálkodó jellegétől függ; az anyavállalatnak ezen felül összevont (konszolidált) beszámolót is kell készítenie. A beszámolót le kell tenni, közzé kell tenni, és bizonyos esetekben könyvvizsgálóval kell ellenőriztetni.”</w:t>
            </w:r>
          </w:p>
        </w:tc>
      </w:tr>
    </w:tbl>
    <w:p>
      <w:pPr>
        <w:pStyle w:val="Heading2"/>
      </w:pPr>
      <w:r>
        <w:rPr>
          <w:rFonts w:ascii="Arial" w:cs="Arial" w:eastAsia="Arial" w:hAnsi="Arial"/>
        </w:rPr>
        <w:t xml:space="preserve">III. Feleleti vázlat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00"/>
        <w:gridCol w:w="2600"/>
        <w:gridCol w:w="6138"/>
      </w:tblGrid>
      <w:tr>
        <w:trPr>
          <w:tblHeader/>
        </w:trPr>
        <w:tc>
          <w:tcPr>
            <w:tcW w:type="dxa" w:w="900"/>
            <w:tcBorders>
              <w:top w:val="single" w:color="9AA5B1" w:sz="4"/>
              <w:left w:val="single" w:color="9AA5B1" w:sz="4"/>
              <w:bottom w:val="single" w:color="9AA5B1" w:sz="4"/>
              <w:right w:val="single" w:color="9AA5B1" w:sz="4"/>
            </w:tcBorders>
            <w:shd w:fill="1F3864" w:color="auto" w:val="clear"/>
            <w:tcMar>
              <w:top w:type="dxa" w:w="60"/>
              <w:left w:type="dxa" w:w="100"/>
              <w:bottom w:type="dxa" w:w="60"/>
              <w:right w:type="dxa" w:w="100"/>
            </w:tcMar>
          </w:tcPr>
          <w:p>
            <w:pPr>
              <w:spacing w:after="40"/>
            </w:pPr>
            <w:r>
              <w:rPr>
                <w:rFonts w:ascii="Arial" w:cs="Arial" w:eastAsia="Arial" w:hAnsi="Arial"/>
                <w:b/>
                <w:bCs/>
                <w:color w:val="FFFFFF"/>
              </w:rPr>
              <w:t xml:space="preserve">Perc</w:t>
            </w:r>
          </w:p>
        </w:tc>
        <w:tc>
          <w:tcPr>
            <w:tcW w:type="dxa" w:w="2600"/>
            <w:tcBorders>
              <w:top w:val="single" w:color="9AA5B1" w:sz="4"/>
              <w:left w:val="single" w:color="9AA5B1" w:sz="4"/>
              <w:bottom w:val="single" w:color="9AA5B1" w:sz="4"/>
              <w:right w:val="single" w:color="9AA5B1" w:sz="4"/>
            </w:tcBorders>
            <w:shd w:fill="1F3864" w:color="auto" w:val="clear"/>
            <w:tcMar>
              <w:top w:type="dxa" w:w="60"/>
              <w:left w:type="dxa" w:w="100"/>
              <w:bottom w:type="dxa" w:w="60"/>
              <w:right w:type="dxa" w:w="100"/>
            </w:tcMar>
          </w:tcPr>
          <w:p>
            <w:pPr>
              <w:spacing w:after="40"/>
            </w:pPr>
            <w:r>
              <w:rPr>
                <w:rFonts w:ascii="Arial" w:cs="Arial" w:eastAsia="Arial" w:hAnsi="Arial"/>
                <w:b/>
                <w:bCs/>
                <w:color w:val="FFFFFF"/>
              </w:rPr>
              <w:t xml:space="preserve">Blokk</w:t>
            </w:r>
          </w:p>
        </w:tc>
        <w:tc>
          <w:tcPr>
            <w:tcW w:type="dxa" w:w="6138"/>
            <w:tcBorders>
              <w:top w:val="single" w:color="9AA5B1" w:sz="4"/>
              <w:left w:val="single" w:color="9AA5B1" w:sz="4"/>
              <w:bottom w:val="single" w:color="9AA5B1" w:sz="4"/>
              <w:right w:val="single" w:color="9AA5B1" w:sz="4"/>
            </w:tcBorders>
            <w:shd w:fill="1F3864" w:color="auto" w:val="clear"/>
            <w:tcMar>
              <w:top w:type="dxa" w:w="60"/>
              <w:left w:type="dxa" w:w="100"/>
              <w:bottom w:type="dxa" w:w="60"/>
              <w:right w:type="dxa" w:w="100"/>
            </w:tcMar>
          </w:tcPr>
          <w:p>
            <w:pPr>
              <w:spacing w:after="40"/>
            </w:pPr>
            <w:r>
              <w:rPr>
                <w:rFonts w:ascii="Arial" w:cs="Arial" w:eastAsia="Arial" w:hAnsi="Arial"/>
                <w:b/>
                <w:bCs/>
                <w:color w:val="FFFFFF"/>
              </w:rPr>
              <w:t xml:space="preserve">Kulcsszavak</w:t>
            </w:r>
          </w:p>
        </w:tc>
      </w:tr>
      <w:tr>
        <w:tc>
          <w:tcPr>
            <w:tcW w:type="dxa" w:w="9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0–1</w:t>
            </w:r>
          </w:p>
        </w:tc>
        <w:tc>
          <w:tcPr>
            <w:tcW w:type="dxa" w:w="26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Alapkötelezettség</w:t>
            </w:r>
          </w:p>
        </w:tc>
        <w:tc>
          <w:tcPr>
            <w:tcW w:type="dxa" w:w="6138"/>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4. § (1)–(2): üzleti évről, könyvek zárása után, magyarul, valós összkép; 8. § (5): testületi felelősség</w:t>
            </w:r>
          </w:p>
        </w:tc>
      </w:tr>
      <w:tr>
        <w:tc>
          <w:tcPr>
            <w:tcW w:type="dxa" w:w="900"/>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1–4</w:t>
            </w:r>
          </w:p>
        </w:tc>
        <w:tc>
          <w:tcPr>
            <w:tcW w:type="dxa" w:w="2600"/>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Beszámolóformák</w:t>
            </w:r>
          </w:p>
        </w:tc>
        <w:tc>
          <w:tcPr>
            <w:tcW w:type="dxa" w:w="6138"/>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8. § (2): éves, egyszerűsített éves, konszolidált, egyszerűsített beszámoló; kettős / egyszeres könyvvitel (8. § (3)–(4))</w:t>
            </w:r>
          </w:p>
        </w:tc>
      </w:tr>
      <w:tr>
        <w:tc>
          <w:tcPr>
            <w:tcW w:type="dxa" w:w="9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4–7</w:t>
            </w:r>
          </w:p>
        </w:tc>
        <w:tc>
          <w:tcPr>
            <w:tcW w:type="dxa" w:w="26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Ki melyiket?</w:t>
            </w:r>
          </w:p>
        </w:tc>
        <w:tc>
          <w:tcPr>
            <w:tcW w:type="dxa" w:w="6138"/>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éves + üzleti jelentés (9. § (1)); egyszerűsített éves: 2000 M / 4000 M / 50 fő, 2 egymást követő év, 3-ból 2 (9. § (2)); kizártak (3); mikro: 180 M / 360 M / 10 fő, nem könyvvizsgált (9. § (6)–(9)); IFRS (9/A. §)</w:t>
            </w:r>
          </w:p>
        </w:tc>
      </w:tr>
      <w:tr>
        <w:tc>
          <w:tcPr>
            <w:tcW w:type="dxa" w:w="900"/>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7–9</w:t>
            </w:r>
          </w:p>
        </w:tc>
        <w:tc>
          <w:tcPr>
            <w:tcW w:type="dxa" w:w="2600"/>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Az éves beszámoló részei</w:t>
            </w:r>
          </w:p>
        </w:tc>
        <w:tc>
          <w:tcPr>
            <w:tcW w:type="dxa" w:w="6138"/>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mérleg (A/B változat), eredménykimutatás (összköltség/forgalmi), kiegészítő melléklet (benne cash flow) + üzleti jelentés [19–20., 22., 71., 88., 95. §]; előző évi adat, összehasonlíthatóság</w:t>
            </w:r>
          </w:p>
        </w:tc>
      </w:tr>
      <w:tr>
        <w:tc>
          <w:tcPr>
            <w:tcW w:type="dxa" w:w="9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9–12</w:t>
            </w:r>
          </w:p>
        </w:tc>
        <w:tc>
          <w:tcPr>
            <w:tcW w:type="dxa" w:w="26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Összevont (konszolidált) beszámoló</w:t>
            </w:r>
          </w:p>
        </w:tc>
        <w:tc>
          <w:tcPr>
            <w:tcW w:type="dxa" w:w="6138"/>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anyavállalat köteles (10. §); részei (120. §); mentességek: fölérendelt anyavállalat (116. §), méret: 10 000 M / 20 000 M / 250 fő (117. §); bevonás köre (118–119. §); IFRS (10. § (2)–(3))</w:t>
            </w:r>
          </w:p>
        </w:tc>
      </w:tr>
      <w:tr>
        <w:tc>
          <w:tcPr>
            <w:tcW w:type="dxa" w:w="900"/>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12–14</w:t>
            </w:r>
          </w:p>
        </w:tc>
        <w:tc>
          <w:tcPr>
            <w:tcW w:type="dxa" w:w="2600"/>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Üzleti év, nyilvánosság, könyvvizsgálat</w:t>
            </w:r>
          </w:p>
        </w:tc>
        <w:tc>
          <w:tcPr>
            <w:tcW w:type="dxa" w:w="6138"/>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üzleti év (11. §); letétbe helyezés 5. hó / konszolidált 6. hó / tőzsdei 4. hó (153. §); közzététel (154. §); könyvvizsgálat, 600 M + 50 fő (155. §)</w:t>
            </w:r>
          </w:p>
        </w:tc>
      </w:tr>
      <w:tr>
        <w:tc>
          <w:tcPr>
            <w:tcW w:type="dxa" w:w="9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14–15</w:t>
            </w:r>
          </w:p>
        </w:tc>
        <w:tc>
          <w:tcPr>
            <w:tcW w:type="dxa" w:w="26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Összefüggések, 2027</w:t>
            </w:r>
          </w:p>
        </w:tc>
        <w:tc>
          <w:tcPr>
            <w:tcW w:type="dxa" w:w="6138"/>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számviteli politika, Tao (6. § (2): beszámoló alapján), ⟳ IFRS 18 / 114/A. §</w:t>
            </w:r>
          </w:p>
        </w:tc>
      </w:tr>
    </w:tbl>
    <w:p>
      <w:pPr>
        <w:pStyle w:val="Heading2"/>
      </w:pPr>
      <w:r>
        <w:rPr>
          <w:rFonts w:ascii="Arial" w:cs="Arial" w:eastAsia="Arial" w:hAnsi="Arial"/>
        </w:rPr>
        <w:t xml:space="preserve">IV. Szóbeli felelet – mondható változat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1F3864" w:sz="12"/>
              <w:left w:val="single" w:color="1F3864" w:sz="12"/>
              <w:bottom w:val="single" w:color="1F3864" w:sz="12"/>
              <w:right w:val="single" w:color="1F3864" w:sz="12"/>
            </w:tcBorders>
            <w:shd w:fill="E8F1FB" w:color="auto" w:val="clear"/>
            <w:tcMar>
              <w:top w:type="dxa" w:w="120"/>
              <w:left w:type="dxa" w:w="160"/>
              <w:bottom w:type="dxa" w:w="120"/>
              <w:right w:type="dxa" w:w="160"/>
            </w:tcMar>
          </w:tcPr>
          <w:p>
            <w:pPr>
              <w:spacing w:after="80"/>
            </w:pPr>
            <w:r>
              <w:rPr>
                <w:rFonts w:ascii="Arial" w:cs="Arial" w:eastAsia="Arial" w:hAnsi="Arial"/>
                <w:b/>
                <w:bCs/>
                <w:color w:val="1F3864"/>
              </w:rPr>
              <w:t xml:space="preserve">Mondd el így (kb. 10–14 perc)</w:t>
            </w:r>
          </w:p>
          <w:p>
            <w:pPr>
              <w:spacing w:after="80" w:line="276"/>
            </w:pPr>
            <w:r>
              <w:rPr>
                <w:rFonts w:ascii="Arial" w:cs="Arial" w:eastAsia="Arial" w:hAnsi="Arial"/>
                <w:b/>
                <w:bCs/>
              </w:rPr>
              <w:t xml:space="preserve">Az alapkötelezettség.</w:t>
            </w:r>
            <w:r>
              <w:rPr>
                <w:rFonts w:ascii="Arial" w:cs="Arial" w:eastAsia="Arial" w:hAnsi="Arial"/>
              </w:rPr>
              <w:t xml:space="preserve"> A Szt. szerint a gazdálkodó működéséről, vagyoni, pénzügyi és jövedelmi helyzetéről az üzleti év könyveinek zárását követően, könyvvezetéssel alátámasztott beszámolót köteles készíteni, magyar nyelven. A beszámolónak megbízható és valós összképet kell adnia a vagyonról, annak összetételéről, a pénzügyi helyzetről és a tevékenység eredményéről. A gazdálkodó legfőbb szervének, ügyvezetésének és felügyelő testületének tagjai együttesen felelősek azért, hogy a beszámoló és az üzleti jelentés – adott esetben a fenntarthatósági jelentés – a törvény szerint készüljön és kerüljön nyilvánosságra.</w:t>
            </w:r>
          </w:p>
          <w:p>
            <w:pPr>
              <w:spacing w:after="80" w:line="276"/>
            </w:pPr>
            <w:r>
              <w:rPr>
                <w:rFonts w:ascii="Arial" w:cs="Arial" w:eastAsia="Arial" w:hAnsi="Arial"/>
                <w:b/>
                <w:bCs/>
              </w:rPr>
              <w:t xml:space="preserve">A beszámolóformák.</w:t>
            </w:r>
            <w:r>
              <w:rPr>
                <w:rFonts w:ascii="Arial" w:cs="Arial" w:eastAsia="Arial" w:hAnsi="Arial"/>
              </w:rPr>
              <w:t xml:space="preserve"> A beszámoló formája az árbevétel, a mérlegfőösszeg és a létszám határértékeitől függ. A törvény négy formát ismer: éves beszámoló, egyszerűsített éves beszámoló, összevont (konszolidált) éves beszámoló és egyszerűsített beszámoló. Az első hármat kettős könyvvitellel kell alátámasztani; egyszeres könyvvitellel csak az egyszerűsített beszámoló támasztható alá, ha törvény vagy kormányrendelet ezt lehetővé teszi – ez jellemzően egyes egyéb szervezetekre vonatkozik.</w:t>
            </w:r>
          </w:p>
          <w:p>
            <w:pPr>
              <w:spacing w:after="80" w:line="276"/>
            </w:pPr>
            <w:r>
              <w:rPr>
                <w:rFonts w:ascii="Arial" w:cs="Arial" w:eastAsia="Arial" w:hAnsi="Arial"/>
                <w:b/>
                <w:bCs/>
              </w:rPr>
              <w:t xml:space="preserve">Ki melyiket készíti?</w:t>
            </w:r>
            <w:r>
              <w:rPr>
                <w:rFonts w:ascii="Arial" w:cs="Arial" w:eastAsia="Arial" w:hAnsi="Arial"/>
              </w:rPr>
              <w:t xml:space="preserve"> A kettős könyvvitelt vezető vállalkozó főszabályként </w:t>
            </w:r>
            <w:r>
              <w:rPr>
                <w:rFonts w:ascii="Arial" w:cs="Arial" w:eastAsia="Arial" w:hAnsi="Arial"/>
                <w:b/>
                <w:bCs/>
              </w:rPr>
              <w:t xml:space="preserve">éves beszámolót és üzleti jelentést</w:t>
            </w:r>
            <w:r>
              <w:rPr>
                <w:rFonts w:ascii="Arial" w:cs="Arial" w:eastAsia="Arial" w:hAnsi="Arial"/>
              </w:rPr>
              <w:t xml:space="preserve"> készít. </w:t>
            </w:r>
            <w:r>
              <w:rPr>
                <w:rFonts w:ascii="Arial" w:cs="Arial" w:eastAsia="Arial" w:hAnsi="Arial"/>
                <w:b/>
                <w:bCs/>
              </w:rPr>
              <w:t xml:space="preserve">Egyszerűsített éves beszámolót</w:t>
            </w:r>
            <w:r>
              <w:rPr>
                <w:rFonts w:ascii="Arial" w:cs="Arial" w:eastAsia="Arial" w:hAnsi="Arial"/>
              </w:rPr>
              <w:t xml:space="preserve"> készíthet, ha két egymást követő üzleti évben a mérlegfordulónapon a három mutató közül bármelyik kettő nem haladja meg a határértéket: mérlegfőösszeg 2000 millió forint, nettó árbevétel 4000 millió forint, átlagos létszám 50 fő. Nem élhet ezzel a nyilvánosan működő részvénytársaság, az anyavállalat, a közérdeklődésre számot tartó gazdálkodó és az, akinek értékpapírjai tőzsdei kereskedelmét engedélyezték vagy kérelmezték. A könyvvizsgálatra nem kötelezett vállalkozó egyszerűsített éves beszámolóját </w:t>
            </w:r>
            <w:r>
              <w:rPr>
                <w:rFonts w:ascii="Arial" w:cs="Arial" w:eastAsia="Arial" w:hAnsi="Arial"/>
                <w:b/>
                <w:bCs/>
              </w:rPr>
              <w:t xml:space="preserve">mikrogazdálkodói</w:t>
            </w:r>
            <w:r>
              <w:rPr>
                <w:rFonts w:ascii="Arial" w:cs="Arial" w:eastAsia="Arial" w:hAnsi="Arial"/>
              </w:rPr>
              <w:t xml:space="preserve"> formában is elkészítheti, ha a három mutatóból kettő nem haladja meg a 180 millió forint mérlegfőösszeget, a 360 millió forint árbevételt és a 10 fős létszámot; ettől a választástól legalább három év után térhet el. Egyes gazdálkodók </w:t>
            </w:r>
            <w:r>
              <w:rPr>
                <w:rFonts w:ascii="Arial" w:cs="Arial" w:eastAsia="Arial" w:hAnsi="Arial"/>
                <w:b/>
                <w:bCs/>
              </w:rPr>
              <w:t xml:space="preserve">IFRS</w:t>
            </w:r>
            <w:r>
              <w:rPr>
                <w:rFonts w:ascii="Arial" w:cs="Arial" w:eastAsia="Arial" w:hAnsi="Arial"/>
              </w:rPr>
              <w:t xml:space="preserve"> szerint is összeállíthatják az éves beszámolójukat, a tőzsdei vállalkozók és a hitelintézetek pedig kötelesek erre.</w:t>
            </w:r>
          </w:p>
          <w:p>
            <w:pPr>
              <w:spacing w:after="80" w:line="276"/>
            </w:pPr>
            <w:r>
              <w:rPr>
                <w:rFonts w:ascii="Arial" w:cs="Arial" w:eastAsia="Arial" w:hAnsi="Arial"/>
                <w:b/>
                <w:bCs/>
              </w:rPr>
              <w:t xml:space="preserve">Az éves beszámoló részei.</w:t>
            </w:r>
            <w:r>
              <w:rPr>
                <w:rFonts w:ascii="Arial" w:cs="Arial" w:eastAsia="Arial" w:hAnsi="Arial"/>
              </w:rPr>
              <w:t xml:space="preserve"> Az éves beszámoló mérlegből, eredménykimutatásból és kiegészítő mellékletből áll, és vele egyidejűleg üzleti jelentést is kell készíteni. A mérleg „A” vagy „B” változatban, az eredménykimutatás összköltség- vagy forgalmiköltség-eljárással készülhet; az egymást követő évek összehasonlíthatóságát biztosítani kell, és minden tételnél szerepelnie kell az előző évi adatnak. A kiegészítő melléklet tartalmazza a törvényben előírt és a valós összképhez szükséges további adatokat, a számviteli politika meghatározó elemeit, a cash flow-kimutatást, és a könyvvizsgálói díjakat is. Az üzleti jelentés a beszámoló adatainak értékelésével, a kockázatokkal és bizonytalanságokkal együtt mutatja be a vagyoni, pénzügyi, jövedelmi helyzetet és az üzletmenetet. A mérleget, az eredménykimutatást és a kiegészítő mellékletet a képviseletre jogosult személy írja alá, a hely és a kelet feltüntetésével.</w:t>
            </w:r>
          </w:p>
          <w:p>
            <w:pPr>
              <w:spacing w:after="80" w:line="276"/>
            </w:pPr>
            <w:r>
              <w:rPr>
                <w:rFonts w:ascii="Arial" w:cs="Arial" w:eastAsia="Arial" w:hAnsi="Arial"/>
                <w:b/>
                <w:bCs/>
              </w:rPr>
              <w:t xml:space="preserve">Az összevont (konszolidált) beszámoló.</w:t>
            </w:r>
            <w:r>
              <w:rPr>
                <w:rFonts w:ascii="Arial" w:cs="Arial" w:eastAsia="Arial" w:hAnsi="Arial"/>
              </w:rPr>
              <w:t xml:space="preserve"> Az anyavállalatnak az éves beszámolón túl összevont (konszolidált) éves beszámolót és összevont üzleti jelentést is kell készítenie. Ez összevont mérlegből, eredménykimutatásból és kiegészítő mellékletből áll, és úgy mutatja be a konszolidálásba bevont vállalkozásokat, mintha egyetlen vállalkozásként működnének. Az anyavállalat mentesülhet: ha maga is egy EGT-beli fölérendelt anyavállalat leányvállalata, amely őt is magában foglaló konszolidált beszámolót készít és hoz nyilvánosságra, a törvényben írt tulajdonosi feltételekkel; vagy ha a csoport a konszolidálás előtti összesített adatok alapján két egymást követő évben a három mutatóból kettőben nem haladja meg a 10 000 millió forint mérlegfőösszeget, a 20 000 millió forint árbevételt és a 250 fős létszámot. A méret szerinti mentesség nem alkalmazható, ha a csoportban közérdeklődésre számot tartó gazdálkodó vagy tőzsdei cég van. A konszolidálásba az anyavállalatot és minden leányvállalatot be kell vonni, a közös vezetésű vállalkozást arányosan; egyes leányvállalatok bevonása alól kivétel lehetséges, például aránytalan költség, továbbértékesítési cél vagy tartós jogi korlátozás esetén. A tőzsdei anyavállalat a konszolidált beszámolót IFRS szerint köteles, más anyavállalat választhatja így elkészíteni.</w:t>
            </w:r>
          </w:p>
          <w:p>
            <w:pPr>
              <w:spacing w:after="80" w:line="276"/>
            </w:pPr>
            <w:r>
              <w:rPr>
                <w:rFonts w:ascii="Arial" w:cs="Arial" w:eastAsia="Arial" w:hAnsi="Arial"/>
                <w:b/>
                <w:bCs/>
              </w:rPr>
              <w:t xml:space="preserve">Üzleti év, nyilvánosság, könyvvizsgálat.</w:t>
            </w:r>
            <w:r>
              <w:rPr>
                <w:rFonts w:ascii="Arial" w:cs="Arial" w:eastAsia="Arial" w:hAnsi="Arial"/>
              </w:rPr>
              <w:t xml:space="preserve"> Az üzleti év főszabályként a naptári év, de bizonyos vállalkozóknál indokolt esetben ettől eltérhet; a mikrogazdálkodói beszámolót készítőnél nem. Az elfogadott éves és egyszerűsített éves beszámolót – a könyvvizsgálói jelentéssel és az osztalékhatározattal – a mérlegfordulónapot követő ötödik hónap utolsó napjáig le kell tenni a céginformációs szolgálatnál, a konszolidált beszámolót a hatodik hónap végéig, a tőzsdei cégnek a negyedik hónap végéig. A letétbe helyezés egyben a közzététel is. A könyvvizsgálat főszabályként kötelező; nem kötelező, ha az előző két üzleti év átlagában a nettó árbevétel nem haladta meg a 600 millió forintot </w:t>
            </w:r>
            <w:r>
              <w:rPr>
                <w:rFonts w:ascii="Arial" w:cs="Arial" w:eastAsia="Arial" w:hAnsi="Arial"/>
                <w:b/>
                <w:bCs/>
              </w:rPr>
              <w:t xml:space="preserve">és</w:t>
            </w:r>
            <w:r>
              <w:rPr>
                <w:rFonts w:ascii="Arial" w:cs="Arial" w:eastAsia="Arial" w:hAnsi="Arial"/>
              </w:rPr>
              <w:t xml:space="preserve"> a létszám az 50 főt – de ez a mentesség nem illeti meg például az anyavállalatot, a konszolidált leányvállalatot, a fióktelepet és a közérdeklődésre számot tartó gazdálkodót, és elveszíti az, akinek 10 millió forintot meghaladó, 60 napnál régebben lejárt köztartozása van.</w:t>
            </w:r>
          </w:p>
          <w:p>
            <w:pPr>
              <w:spacing w:after="80" w:line="276"/>
            </w:pPr>
            <w:r>
              <w:rPr>
                <w:rFonts w:ascii="Arial" w:cs="Arial" w:eastAsia="Arial" w:hAnsi="Arial"/>
                <w:b/>
                <w:bCs/>
              </w:rPr>
              <w:t xml:space="preserve">Összefüggések.</w:t>
            </w:r>
            <w:r>
              <w:rPr>
                <w:rFonts w:ascii="Arial" w:cs="Arial" w:eastAsia="Arial" w:hAnsi="Arial"/>
              </w:rPr>
              <w:t xml:space="preserve"> A beszámoló a könyvvezetésre épül, amelyet bizonylatok támasztanak alá, és a számviteli politika határozza meg a választásokat. A társasági adó alapját is a beszámoló adózás előtti eredményéből kell megállapítani. Végül egy 2027-es megjegyzés: az IFRS szerint beszámolókra vonatkozó magyar szabály még az IAS 1-re hivatkozik, amelyet 2027-től az IFRS 18 vált fel – ennek törvényi lekövetése még hátravan.</w:t>
            </w:r>
          </w:p>
        </w:tc>
      </w:tr>
    </w:tbl>
    <w:p>
      <w:pPr>
        <w:pStyle w:val="Heading2"/>
      </w:pPr>
      <w:r>
        <w:rPr>
          <w:rFonts w:ascii="Arial" w:cs="Arial" w:eastAsia="Arial" w:hAnsi="Arial"/>
        </w:rPr>
        <w:t xml:space="preserve">V. Jogszabályi háttér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600"/>
        <w:gridCol w:w="3700"/>
        <w:gridCol w:w="2338"/>
      </w:tblGrid>
      <w:tr>
        <w:trPr>
          <w:tblHeader/>
        </w:trPr>
        <w:tc>
          <w:tcPr>
            <w:tcW w:type="dxa" w:w="3600"/>
            <w:tcBorders>
              <w:top w:val="single" w:color="9AA5B1" w:sz="4"/>
              <w:left w:val="single" w:color="9AA5B1" w:sz="4"/>
              <w:bottom w:val="single" w:color="9AA5B1" w:sz="4"/>
              <w:right w:val="single" w:color="9AA5B1" w:sz="4"/>
            </w:tcBorders>
            <w:shd w:fill="1F3864" w:color="auto" w:val="clear"/>
            <w:tcMar>
              <w:top w:type="dxa" w:w="60"/>
              <w:left w:type="dxa" w:w="100"/>
              <w:bottom w:type="dxa" w:w="60"/>
              <w:right w:type="dxa" w:w="100"/>
            </w:tcMar>
          </w:tcPr>
          <w:p>
            <w:pPr>
              <w:spacing w:after="40"/>
            </w:pPr>
            <w:r>
              <w:rPr>
                <w:rFonts w:ascii="Arial" w:cs="Arial" w:eastAsia="Arial" w:hAnsi="Arial"/>
                <w:b/>
                <w:bCs/>
                <w:color w:val="FFFFFF"/>
              </w:rPr>
              <w:t xml:space="preserve">Téma</w:t>
            </w:r>
          </w:p>
        </w:tc>
        <w:tc>
          <w:tcPr>
            <w:tcW w:type="dxa" w:w="3700"/>
            <w:tcBorders>
              <w:top w:val="single" w:color="9AA5B1" w:sz="4"/>
              <w:left w:val="single" w:color="9AA5B1" w:sz="4"/>
              <w:bottom w:val="single" w:color="9AA5B1" w:sz="4"/>
              <w:right w:val="single" w:color="9AA5B1" w:sz="4"/>
            </w:tcBorders>
            <w:shd w:fill="1F3864" w:color="auto" w:val="clear"/>
            <w:tcMar>
              <w:top w:type="dxa" w:w="60"/>
              <w:left w:type="dxa" w:w="100"/>
              <w:bottom w:type="dxa" w:w="60"/>
              <w:right w:type="dxa" w:w="100"/>
            </w:tcMar>
          </w:tcPr>
          <w:p>
            <w:pPr>
              <w:spacing w:after="40"/>
            </w:pPr>
            <w:r>
              <w:rPr>
                <w:rFonts w:ascii="Arial" w:cs="Arial" w:eastAsia="Arial" w:hAnsi="Arial"/>
                <w:b/>
                <w:bCs/>
                <w:color w:val="FFFFFF"/>
              </w:rPr>
              <w:t xml:space="preserve">Jogszabályhely</w:t>
            </w:r>
          </w:p>
        </w:tc>
        <w:tc>
          <w:tcPr>
            <w:tcW w:type="dxa" w:w="2338"/>
            <w:tcBorders>
              <w:top w:val="single" w:color="9AA5B1" w:sz="4"/>
              <w:left w:val="single" w:color="9AA5B1" w:sz="4"/>
              <w:bottom w:val="single" w:color="9AA5B1" w:sz="4"/>
              <w:right w:val="single" w:color="9AA5B1" w:sz="4"/>
            </w:tcBorders>
            <w:shd w:fill="1F3864" w:color="auto" w:val="clear"/>
            <w:tcMar>
              <w:top w:type="dxa" w:w="60"/>
              <w:left w:type="dxa" w:w="100"/>
              <w:bottom w:type="dxa" w:w="60"/>
              <w:right w:type="dxa" w:w="100"/>
            </w:tcMar>
          </w:tcPr>
          <w:p>
            <w:pPr>
              <w:spacing w:after="40"/>
            </w:pPr>
            <w:r>
              <w:rPr>
                <w:rFonts w:ascii="Arial" w:cs="Arial" w:eastAsia="Arial" w:hAnsi="Arial"/>
                <w:b/>
                <w:bCs/>
                <w:color w:val="FFFFFF"/>
              </w:rPr>
              <w:t xml:space="preserve">Ellenőrzés</w:t>
            </w:r>
          </w:p>
        </w:tc>
      </w:tr>
      <w:tr>
        <w:tc>
          <w:tcPr>
            <w:tcW w:type="dxa" w:w="36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Beszámolókészítési kötelezettség, magyar nyelv, valós összkép</w:t>
            </w:r>
          </w:p>
        </w:tc>
        <w:tc>
          <w:tcPr>
            <w:tcW w:type="dxa" w:w="37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Szt. 4. § (1)–(2)</w:t>
            </w:r>
          </w:p>
        </w:tc>
        <w:tc>
          <w:tcPr>
            <w:tcW w:type="dxa" w:w="2338"/>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 njt</w:t>
            </w:r>
          </w:p>
        </w:tc>
      </w:tr>
      <w:tr>
        <w:tc>
          <w:tcPr>
            <w:tcW w:type="dxa" w:w="3600"/>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Beszámolóformák, kettős/egyszeres könyvvitel, testületi felelősség</w:t>
            </w:r>
          </w:p>
        </w:tc>
        <w:tc>
          <w:tcPr>
            <w:tcW w:type="dxa" w:w="3700"/>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Szt. 8. § (1)–(5)</w:t>
            </w:r>
          </w:p>
        </w:tc>
        <w:tc>
          <w:tcPr>
            <w:tcW w:type="dxa" w:w="2338"/>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 njt</w:t>
            </w:r>
          </w:p>
        </w:tc>
      </w:tr>
      <w:tr>
        <w:tc>
          <w:tcPr>
            <w:tcW w:type="dxa" w:w="36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Éves beszámoló + üzleti jelentés; egyszerűsített éves beszámoló 2000/4000/50; kizártak; mikro 180/360/10</w:t>
            </w:r>
          </w:p>
        </w:tc>
        <w:tc>
          <w:tcPr>
            <w:tcW w:type="dxa" w:w="37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Szt. 9. § (1)–(10)</w:t>
            </w:r>
          </w:p>
        </w:tc>
        <w:tc>
          <w:tcPr>
            <w:tcW w:type="dxa" w:w="2338"/>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 njt; értékhatárok: 2024. évi LV. tv. (egyszerűsített), 2025. évi LXXXIV. tv. (mikro) – lábjegyzetekből</w:t>
            </w:r>
          </w:p>
        </w:tc>
      </w:tr>
      <w:tr>
        <w:tc>
          <w:tcPr>
            <w:tcW w:type="dxa" w:w="3600"/>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IFRS egyedi beszámoló</w:t>
            </w:r>
          </w:p>
        </w:tc>
        <w:tc>
          <w:tcPr>
            <w:tcW w:type="dxa" w:w="3700"/>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Szt. 9/A. §</w:t>
            </w:r>
          </w:p>
        </w:tc>
        <w:tc>
          <w:tcPr>
            <w:tcW w:type="dxa" w:w="2338"/>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 njt</w:t>
            </w:r>
          </w:p>
        </w:tc>
      </w:tr>
      <w:tr>
        <w:tc>
          <w:tcPr>
            <w:tcW w:type="dxa" w:w="36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Konszolidált beszámoló kötelezettsége, IFRS</w:t>
            </w:r>
          </w:p>
        </w:tc>
        <w:tc>
          <w:tcPr>
            <w:tcW w:type="dxa" w:w="37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Szt. 10. § (1)–(6)</w:t>
            </w:r>
          </w:p>
        </w:tc>
        <w:tc>
          <w:tcPr>
            <w:tcW w:type="dxa" w:w="2338"/>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 njt</w:t>
            </w:r>
          </w:p>
        </w:tc>
      </w:tr>
      <w:tr>
        <w:tc>
          <w:tcPr>
            <w:tcW w:type="dxa" w:w="3600"/>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Üzleti év</w:t>
            </w:r>
          </w:p>
        </w:tc>
        <w:tc>
          <w:tcPr>
            <w:tcW w:type="dxa" w:w="3700"/>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Szt. 11. §</w:t>
            </w:r>
          </w:p>
        </w:tc>
        <w:tc>
          <w:tcPr>
            <w:tcW w:type="dxa" w:w="2338"/>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 njt</w:t>
            </w:r>
          </w:p>
        </w:tc>
      </w:tr>
      <w:tr>
        <w:tc>
          <w:tcPr>
            <w:tcW w:type="dxa" w:w="36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Éves beszámoló, tartalma, részei, összehasonlíthatóság, jelentős hiba oszlopa</w:t>
            </w:r>
          </w:p>
        </w:tc>
        <w:tc>
          <w:tcPr>
            <w:tcW w:type="dxa" w:w="37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Szt. 17–19. §</w:t>
            </w:r>
          </w:p>
        </w:tc>
        <w:tc>
          <w:tcPr>
            <w:tcW w:type="dxa" w:w="2338"/>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 njt</w:t>
            </w:r>
          </w:p>
        </w:tc>
      </w:tr>
      <w:tr>
        <w:tc>
          <w:tcPr>
            <w:tcW w:type="dxa" w:w="3600"/>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Szerkezet, ezer forint, aláírás</w:t>
            </w:r>
          </w:p>
        </w:tc>
        <w:tc>
          <w:tcPr>
            <w:tcW w:type="dxa" w:w="3700"/>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Szt. 20. § (1)–(2), (6)</w:t>
            </w:r>
          </w:p>
        </w:tc>
        <w:tc>
          <w:tcPr>
            <w:tcW w:type="dxa" w:w="2338"/>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 njt</w:t>
            </w:r>
          </w:p>
        </w:tc>
      </w:tr>
      <w:tr>
        <w:tc>
          <w:tcPr>
            <w:tcW w:type="dxa" w:w="36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Mérleg A/B változat; eredménykimutatás összköltség/forgalmi</w:t>
            </w:r>
          </w:p>
        </w:tc>
        <w:tc>
          <w:tcPr>
            <w:tcW w:type="dxa" w:w="37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Szt. 22. § (1); 71. § (1)–(2)</w:t>
            </w:r>
          </w:p>
        </w:tc>
        <w:tc>
          <w:tcPr>
            <w:tcW w:type="dxa" w:w="2338"/>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 njt</w:t>
            </w:r>
          </w:p>
        </w:tc>
      </w:tr>
      <w:tr>
        <w:tc>
          <w:tcPr>
            <w:tcW w:type="dxa" w:w="3600"/>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Kiegészítő melléklet (cash flow, osztalékjavaslat, könyvvizsgálói díj)</w:t>
            </w:r>
          </w:p>
        </w:tc>
        <w:tc>
          <w:tcPr>
            <w:tcW w:type="dxa" w:w="3700"/>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Szt. 88. § (1)–(10)</w:t>
            </w:r>
          </w:p>
        </w:tc>
        <w:tc>
          <w:tcPr>
            <w:tcW w:type="dxa" w:w="2338"/>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 njt</w:t>
            </w:r>
          </w:p>
        </w:tc>
      </w:tr>
      <w:tr>
        <w:tc>
          <w:tcPr>
            <w:tcW w:type="dxa" w:w="36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Üzleti jelentés</w:t>
            </w:r>
          </w:p>
        </w:tc>
        <w:tc>
          <w:tcPr>
            <w:tcW w:type="dxa" w:w="37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Szt. 95. §</w:t>
            </w:r>
          </w:p>
        </w:tc>
        <w:tc>
          <w:tcPr>
            <w:tcW w:type="dxa" w:w="2338"/>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 njt</w:t>
            </w:r>
          </w:p>
        </w:tc>
      </w:tr>
      <w:tr>
        <w:tc>
          <w:tcPr>
            <w:tcW w:type="dxa" w:w="3600"/>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Meghatározó befolyás számítása; konszolidálási kötelezettség megítélése</w:t>
            </w:r>
          </w:p>
        </w:tc>
        <w:tc>
          <w:tcPr>
            <w:tcW w:type="dxa" w:w="3700"/>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Szt. 115. §</w:t>
            </w:r>
          </w:p>
        </w:tc>
        <w:tc>
          <w:tcPr>
            <w:tcW w:type="dxa" w:w="2338"/>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 njt</w:t>
            </w:r>
          </w:p>
        </w:tc>
      </w:tr>
      <w:tr>
        <w:tc>
          <w:tcPr>
            <w:tcW w:type="dxa" w:w="36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Mentességek: fölérendelt anyavállalat; méret 10 000/20 000/250</w:t>
            </w:r>
          </w:p>
        </w:tc>
        <w:tc>
          <w:tcPr>
            <w:tcW w:type="dxa" w:w="37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Szt. 116–117. §</w:t>
            </w:r>
          </w:p>
        </w:tc>
        <w:tc>
          <w:tcPr>
            <w:tcW w:type="dxa" w:w="2338"/>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 njt</w:t>
            </w:r>
          </w:p>
        </w:tc>
      </w:tr>
      <w:tr>
        <w:tc>
          <w:tcPr>
            <w:tcW w:type="dxa" w:w="3600"/>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Bevonás köre, kivételek</w:t>
            </w:r>
          </w:p>
        </w:tc>
        <w:tc>
          <w:tcPr>
            <w:tcW w:type="dxa" w:w="3700"/>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Szt. 118–119. §</w:t>
            </w:r>
          </w:p>
        </w:tc>
        <w:tc>
          <w:tcPr>
            <w:tcW w:type="dxa" w:w="2338"/>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 njt</w:t>
            </w:r>
          </w:p>
        </w:tc>
      </w:tr>
      <w:tr>
        <w:tc>
          <w:tcPr>
            <w:tcW w:type="dxa" w:w="36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Konszolidált beszámoló részei</w:t>
            </w:r>
          </w:p>
        </w:tc>
        <w:tc>
          <w:tcPr>
            <w:tcW w:type="dxa" w:w="37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Szt. 120. §</w:t>
            </w:r>
          </w:p>
        </w:tc>
        <w:tc>
          <w:tcPr>
            <w:tcW w:type="dxa" w:w="2338"/>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 njt</w:t>
            </w:r>
          </w:p>
        </w:tc>
      </w:tr>
      <w:tr>
        <w:tc>
          <w:tcPr>
            <w:tcW w:type="dxa" w:w="3600"/>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Letétbe helyezés, közzététel</w:t>
            </w:r>
          </w:p>
        </w:tc>
        <w:tc>
          <w:tcPr>
            <w:tcW w:type="dxa" w:w="3700"/>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Szt. 153–154. §</w:t>
            </w:r>
          </w:p>
        </w:tc>
        <w:tc>
          <w:tcPr>
            <w:tcW w:type="dxa" w:w="2338"/>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 njt</w:t>
            </w:r>
          </w:p>
        </w:tc>
      </w:tr>
      <w:tr>
        <w:tc>
          <w:tcPr>
            <w:tcW w:type="dxa" w:w="36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Könyvvizsgálat: 600 M Ft és 50 fő (együtt), kizártak, köztartozás</w:t>
            </w:r>
          </w:p>
        </w:tc>
        <w:tc>
          <w:tcPr>
            <w:tcW w:type="dxa" w:w="37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Szt. 155. § (1)–(8)</w:t>
            </w:r>
          </w:p>
        </w:tc>
        <w:tc>
          <w:tcPr>
            <w:tcW w:type="dxa" w:w="2338"/>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 njt</w:t>
            </w:r>
          </w:p>
        </w:tc>
      </w:tr>
      <w:tr>
        <w:tc>
          <w:tcPr>
            <w:tcW w:type="dxa" w:w="3600"/>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Mikrogazdálkodói beszámoló részletszabályai</w:t>
            </w:r>
          </w:p>
        </w:tc>
        <w:tc>
          <w:tcPr>
            <w:tcW w:type="dxa" w:w="3700"/>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398/2012. Korm. r. [Szt. 6. § (5)]</w:t>
            </w:r>
          </w:p>
        </w:tc>
        <w:tc>
          <w:tcPr>
            <w:tcW w:type="dxa" w:w="2338"/>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 rendeletszöveg nem ellenőrizve ebben a tételben</w:t>
            </w:r>
          </w:p>
        </w:tc>
      </w:tr>
      <w:tr>
        <w:tc>
          <w:tcPr>
            <w:tcW w:type="dxa" w:w="36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Tao-alap a beszámoló alapján</w:t>
            </w:r>
          </w:p>
        </w:tc>
        <w:tc>
          <w:tcPr>
            <w:tcW w:type="dxa" w:w="37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Tao tv. 6. § (2)</w:t>
            </w:r>
          </w:p>
        </w:tc>
        <w:tc>
          <w:tcPr>
            <w:tcW w:type="dxa" w:w="2338"/>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 njt</w:t>
            </w:r>
          </w:p>
        </w:tc>
      </w:tr>
    </w:tbl>
    <w:p>
      <w:pPr>
        <w:pStyle w:val="Heading2"/>
      </w:pPr>
      <w:r>
        <w:rPr>
          <w:rFonts w:ascii="Arial" w:cs="Arial" w:eastAsia="Arial" w:hAnsi="Arial"/>
        </w:rPr>
        <w:t xml:space="preserve">V/a. Összefüggések (beszámoló, bizonylat, könyvvezetés, számviteli politika, melléklet, üzleti jelentés, Tao)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00"/>
        <w:gridCol w:w="7038"/>
      </w:tblGrid>
      <w:tr>
        <w:trPr>
          <w:tblHeader/>
        </w:trPr>
        <w:tc>
          <w:tcPr>
            <w:tcW w:type="dxa" w:w="2600"/>
            <w:tcBorders>
              <w:top w:val="single" w:color="9AA5B1" w:sz="4"/>
              <w:left w:val="single" w:color="9AA5B1" w:sz="4"/>
              <w:bottom w:val="single" w:color="9AA5B1" w:sz="4"/>
              <w:right w:val="single" w:color="9AA5B1" w:sz="4"/>
            </w:tcBorders>
            <w:shd w:fill="1F3864" w:color="auto" w:val="clear"/>
            <w:tcMar>
              <w:top w:type="dxa" w:w="60"/>
              <w:left w:type="dxa" w:w="100"/>
              <w:bottom w:type="dxa" w:w="60"/>
              <w:right w:type="dxa" w:w="100"/>
            </w:tcMar>
          </w:tcPr>
          <w:p>
            <w:pPr>
              <w:spacing w:after="40"/>
            </w:pPr>
            <w:r>
              <w:rPr>
                <w:rFonts w:ascii="Arial" w:cs="Arial" w:eastAsia="Arial" w:hAnsi="Arial"/>
                <w:b/>
                <w:bCs/>
                <w:color w:val="FFFFFF"/>
              </w:rPr>
              <w:t xml:space="preserve">Terület</w:t>
            </w:r>
          </w:p>
        </w:tc>
        <w:tc>
          <w:tcPr>
            <w:tcW w:type="dxa" w:w="7038"/>
            <w:tcBorders>
              <w:top w:val="single" w:color="9AA5B1" w:sz="4"/>
              <w:left w:val="single" w:color="9AA5B1" w:sz="4"/>
              <w:bottom w:val="single" w:color="9AA5B1" w:sz="4"/>
              <w:right w:val="single" w:color="9AA5B1" w:sz="4"/>
            </w:tcBorders>
            <w:shd w:fill="1F3864" w:color="auto" w:val="clear"/>
            <w:tcMar>
              <w:top w:type="dxa" w:w="60"/>
              <w:left w:type="dxa" w:w="100"/>
              <w:bottom w:type="dxa" w:w="60"/>
              <w:right w:type="dxa" w:w="100"/>
            </w:tcMar>
          </w:tcPr>
          <w:p>
            <w:pPr>
              <w:spacing w:after="40"/>
            </w:pPr>
            <w:r>
              <w:rPr>
                <w:rFonts w:ascii="Arial" w:cs="Arial" w:eastAsia="Arial" w:hAnsi="Arial"/>
                <w:b/>
                <w:bCs/>
                <w:color w:val="FFFFFF"/>
              </w:rPr>
              <w:t xml:space="preserve">Kapcsolat a témával</w:t>
            </w:r>
          </w:p>
        </w:tc>
      </w:tr>
      <w:tr>
        <w:tc>
          <w:tcPr>
            <w:tcW w:type="dxa" w:w="26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Beszámoló</w:t>
            </w:r>
          </w:p>
        </w:tc>
        <w:tc>
          <w:tcPr>
            <w:tcW w:type="dxa" w:w="7038"/>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A tétel maga: formák, részek, határidők.</w:t>
            </w:r>
          </w:p>
        </w:tc>
      </w:tr>
      <w:tr>
        <w:tc>
          <w:tcPr>
            <w:tcW w:type="dxa" w:w="2600"/>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Bizonylatolás, könyvvezetés</w:t>
            </w:r>
          </w:p>
        </w:tc>
        <w:tc>
          <w:tcPr>
            <w:tcW w:type="dxa" w:w="7038"/>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A beszámolót szabályszerűen vezetett kettős (kivételesen egyszeres) könyvvitel támasztja alá [8. § (3)–(4), 20. § (1)].</w:t>
            </w:r>
          </w:p>
        </w:tc>
      </w:tr>
      <w:tr>
        <w:tc>
          <w:tcPr>
            <w:tcW w:type="dxa" w:w="26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Számviteli politika</w:t>
            </w:r>
          </w:p>
        </w:tc>
        <w:tc>
          <w:tcPr>
            <w:tcW w:type="dxa" w:w="7038"/>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Rögzíti a választásokat: mérleg A/B, eredménykimutatás típusa, egyszerűsített éves beszámoló, IFRS, eltérő üzleti év [14. § (4)].</w:t>
            </w:r>
          </w:p>
        </w:tc>
      </w:tr>
      <w:tr>
        <w:tc>
          <w:tcPr>
            <w:tcW w:type="dxa" w:w="2600"/>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Kiegészítő melléklet</w:t>
            </w:r>
          </w:p>
        </w:tc>
        <w:tc>
          <w:tcPr>
            <w:tcW w:type="dxa" w:w="7038"/>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Kötelező része az éves és a konszolidált beszámolónak [19. § (1), 120. § (1)]; benne a cash flow [88. § (6)].</w:t>
            </w:r>
          </w:p>
        </w:tc>
      </w:tr>
      <w:tr>
        <w:tc>
          <w:tcPr>
            <w:tcW w:type="dxa" w:w="26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Üzleti jelentés</w:t>
            </w:r>
          </w:p>
        </w:tc>
        <w:tc>
          <w:tcPr>
            <w:tcW w:type="dxa" w:w="7038"/>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Az éves beszámolóval egyidejűleg készül [19. § (1)], de nem része; a könyvvizsgáló az összhangot ellenőrzi [155. § (1)].</w:t>
            </w:r>
          </w:p>
        </w:tc>
      </w:tr>
      <w:tr>
        <w:tc>
          <w:tcPr>
            <w:tcW w:type="dxa" w:w="2600"/>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Társasági adó</w:t>
            </w:r>
          </w:p>
        </w:tc>
        <w:tc>
          <w:tcPr>
            <w:tcW w:type="dxa" w:w="7038"/>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Az adózás előtti eredményt a beszámoló (ha nincs, könyvviteli zárlat) alapján kell megállapítani [Tao tv. 6. § (2)].</w:t>
            </w:r>
          </w:p>
        </w:tc>
      </w:tr>
    </w:tbl>
    <w:p>
      <w:pPr>
        <w:pStyle w:val="Heading2"/>
      </w:pPr>
      <w:r>
        <w:rPr>
          <w:rFonts w:ascii="Arial" w:cs="Arial" w:eastAsia="Arial" w:hAnsi="Arial"/>
        </w:rPr>
        <w:t xml:space="preserve">VI. Fogalmak</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00"/>
        <w:gridCol w:w="6838"/>
      </w:tblGrid>
      <w:tr>
        <w:trPr>
          <w:tblHeader/>
        </w:trPr>
        <w:tc>
          <w:tcPr>
            <w:tcW w:type="dxa" w:w="2800"/>
            <w:tcBorders>
              <w:top w:val="single" w:color="9AA5B1" w:sz="4"/>
              <w:left w:val="single" w:color="9AA5B1" w:sz="4"/>
              <w:bottom w:val="single" w:color="9AA5B1" w:sz="4"/>
              <w:right w:val="single" w:color="9AA5B1" w:sz="4"/>
            </w:tcBorders>
            <w:shd w:fill="1F3864" w:color="auto" w:val="clear"/>
            <w:tcMar>
              <w:top w:type="dxa" w:w="60"/>
              <w:left w:type="dxa" w:w="100"/>
              <w:bottom w:type="dxa" w:w="60"/>
              <w:right w:type="dxa" w:w="100"/>
            </w:tcMar>
          </w:tcPr>
          <w:p>
            <w:pPr>
              <w:spacing w:after="40"/>
            </w:pPr>
            <w:r>
              <w:rPr>
                <w:rFonts w:ascii="Arial" w:cs="Arial" w:eastAsia="Arial" w:hAnsi="Arial"/>
                <w:b/>
                <w:bCs/>
                <w:color w:val="FFFFFF"/>
              </w:rPr>
              <w:t xml:space="preserve">Fogalom</w:t>
            </w:r>
          </w:p>
        </w:tc>
        <w:tc>
          <w:tcPr>
            <w:tcW w:type="dxa" w:w="6838"/>
            <w:tcBorders>
              <w:top w:val="single" w:color="9AA5B1" w:sz="4"/>
              <w:left w:val="single" w:color="9AA5B1" w:sz="4"/>
              <w:bottom w:val="single" w:color="9AA5B1" w:sz="4"/>
              <w:right w:val="single" w:color="9AA5B1" w:sz="4"/>
            </w:tcBorders>
            <w:shd w:fill="1F3864" w:color="auto" w:val="clear"/>
            <w:tcMar>
              <w:top w:type="dxa" w:w="60"/>
              <w:left w:type="dxa" w:w="100"/>
              <w:bottom w:type="dxa" w:w="60"/>
              <w:right w:type="dxa" w:w="100"/>
            </w:tcMar>
          </w:tcPr>
          <w:p>
            <w:pPr>
              <w:spacing w:after="40"/>
            </w:pPr>
            <w:r>
              <w:rPr>
                <w:rFonts w:ascii="Arial" w:cs="Arial" w:eastAsia="Arial" w:hAnsi="Arial"/>
                <w:b/>
                <w:bCs/>
                <w:color w:val="FFFFFF"/>
              </w:rPr>
              <w:t xml:space="preserve">Tartalom</w:t>
            </w:r>
          </w:p>
        </w:tc>
      </w:tr>
      <w:tr>
        <w:tc>
          <w:tcPr>
            <w:tcW w:type="dxa" w:w="28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Éves beszámoló</w:t>
            </w:r>
          </w:p>
        </w:tc>
        <w:tc>
          <w:tcPr>
            <w:tcW w:type="dxa" w:w="6838"/>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Mérleg + eredménykimutatás + kiegészítő melléklet; mellé üzleti jelentés [19. §].</w:t>
            </w:r>
          </w:p>
        </w:tc>
      </w:tr>
      <w:tr>
        <w:tc>
          <w:tcPr>
            <w:tcW w:type="dxa" w:w="2800"/>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Egyszerűsített éves beszámoló</w:t>
            </w:r>
          </w:p>
        </w:tc>
        <w:tc>
          <w:tcPr>
            <w:tcW w:type="dxa" w:w="6838"/>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Kisebb vállalkozók választható formája, egyszerűsített tagolással [9. § (2), 96–98/A. §].</w:t>
            </w:r>
          </w:p>
        </w:tc>
      </w:tr>
      <w:tr>
        <w:tc>
          <w:tcPr>
            <w:tcW w:type="dxa" w:w="28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Mikrogazdálkodói egyszerűsített éves beszámoló</w:t>
            </w:r>
          </w:p>
        </w:tc>
        <w:tc>
          <w:tcPr>
            <w:tcW w:type="dxa" w:w="6838"/>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Az egyszerűsített éves beszámoló kormányrendelet szerinti változata [9. § (6), 6. § (5)].</w:t>
            </w:r>
          </w:p>
        </w:tc>
      </w:tr>
      <w:tr>
        <w:tc>
          <w:tcPr>
            <w:tcW w:type="dxa" w:w="2800"/>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Összevont (konszolidált) éves beszámoló</w:t>
            </w:r>
          </w:p>
        </w:tc>
        <w:tc>
          <w:tcPr>
            <w:tcW w:type="dxa" w:w="6838"/>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A csoport beszámolója, mintha egy vállalkozás lenne [120. § (5)].</w:t>
            </w:r>
          </w:p>
        </w:tc>
      </w:tr>
      <w:tr>
        <w:tc>
          <w:tcPr>
            <w:tcW w:type="dxa" w:w="28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Mentesíthető / fölérendelt anyavállalat</w:t>
            </w:r>
          </w:p>
        </w:tc>
        <w:tc>
          <w:tcPr>
            <w:tcW w:type="dxa" w:w="6838"/>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A konszolidálási mentesség szereplői [116. §] – 31/a, 32/a.</w:t>
            </w:r>
          </w:p>
        </w:tc>
      </w:tr>
      <w:tr>
        <w:tc>
          <w:tcPr>
            <w:tcW w:type="dxa" w:w="2800"/>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Letétbe helyezés, közzététel</w:t>
            </w:r>
          </w:p>
        </w:tc>
        <w:tc>
          <w:tcPr>
            <w:tcW w:type="dxa" w:w="6838"/>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A céginformációs szolgálatnak történő elektronikus megküldés [153–154. §].</w:t>
            </w:r>
          </w:p>
        </w:tc>
      </w:tr>
    </w:tbl>
    <w:p>
      <w:pPr>
        <w:pStyle w:val="Heading2"/>
      </w:pPr>
      <w:r>
        <w:rPr>
          <w:rFonts w:ascii="Arial" w:cs="Arial" w:eastAsia="Arial" w:hAnsi="Arial"/>
        </w:rPr>
        <w:t xml:space="preserve">VII. Rendszer / logika</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595959" w:sz="12"/>
              <w:left w:val="single" w:color="595959" w:sz="12"/>
              <w:bottom w:val="single" w:color="595959" w:sz="12"/>
              <w:right w:val="single" w:color="595959" w:sz="12"/>
            </w:tcBorders>
            <w:shd w:fill="F2F2F2" w:color="auto" w:val="clear"/>
            <w:tcMar>
              <w:top w:type="dxa" w:w="120"/>
              <w:left w:type="dxa" w:w="160"/>
              <w:bottom w:type="dxa" w:w="120"/>
              <w:right w:type="dxa" w:w="160"/>
            </w:tcMar>
          </w:tcPr>
          <w:p>
            <w:pPr>
              <w:spacing w:after="80"/>
            </w:pPr>
            <w:r>
              <w:rPr>
                <w:rFonts w:ascii="Arial" w:cs="Arial" w:eastAsia="Arial" w:hAnsi="Arial"/>
                <w:b/>
                <w:bCs/>
                <w:color w:val="595959"/>
              </w:rPr>
              <w:t xml:space="preserve">Logika</w:t>
            </w:r>
          </w:p>
          <w:p>
            <w:pPr>
              <w:spacing w:after="80" w:line="276"/>
            </w:pPr>
            <w:r>
              <w:rPr>
                <w:rFonts w:ascii="Arial" w:cs="Arial" w:eastAsia="Arial" w:hAnsi="Arial"/>
              </w:rPr>
              <w:t xml:space="preserve">Gazdálkodó → kettős könyvvitel? → vállalkozó?</w:t>
            </w:r>
          </w:p>
          <w:p>
            <w:pPr>
              <w:spacing w:after="80" w:line="276"/>
            </w:pPr>
            <w:r>
              <w:rPr>
                <w:rFonts w:ascii="Arial" w:cs="Arial" w:eastAsia="Arial" w:hAnsi="Arial"/>
              </w:rPr>
              <w:t xml:space="preserve">→ anyavállalat, közérdeklődésre számot tartó, tőzsdei? → IGEN: éves beszámoló (+ konszolidált, ha nincs mentesség) · NEM: →</w:t>
            </w:r>
          </w:p>
          <w:p>
            <w:pPr>
              <w:spacing w:after="80" w:line="276"/>
            </w:pPr>
            <w:r>
              <w:rPr>
                <w:rFonts w:ascii="Arial" w:cs="Arial" w:eastAsia="Arial" w:hAnsi="Arial"/>
              </w:rPr>
              <w:t xml:space="preserve">→ 3 mutatóból 2 ≤ 2000 M / 4000 M / 50 fő két évig? → IGEN: egyszerűsített éves beszámoló választható →</w:t>
            </w:r>
          </w:p>
          <w:p>
            <w:pPr>
              <w:spacing w:after="80" w:line="276"/>
            </w:pPr>
            <w:r>
              <w:rPr>
                <w:rFonts w:ascii="Arial" w:cs="Arial" w:eastAsia="Arial" w:hAnsi="Arial"/>
              </w:rPr>
              <w:t xml:space="preserve">→ nem könyvvizsgált és 3-ból 2 ≤ 180 M / 360 M / 10 fő? → mikrogazdálkodói változat választható</w:t>
            </w:r>
          </w:p>
          <w:p>
            <w:pPr>
              <w:spacing w:after="80" w:line="276"/>
            </w:pPr>
            <w:r>
              <w:rPr>
                <w:rFonts w:ascii="Arial" w:cs="Arial" w:eastAsia="Arial" w:hAnsi="Arial"/>
              </w:rPr>
              <w:t xml:space="preserve">→ IFRS: 9/A. § (2) kötelező / (1) választható / (3) tilos</w:t>
            </w:r>
          </w:p>
          <w:p>
            <w:pPr>
              <w:spacing w:after="80" w:line="276"/>
            </w:pPr>
            <w:r>
              <w:rPr>
                <w:rFonts w:ascii="Arial" w:cs="Arial" w:eastAsia="Arial" w:hAnsi="Arial"/>
              </w:rPr>
              <w:t xml:space="preserve">→ elfogadás → letétbe helyezés (4/5/6. hónap vége) = közzététel → könyvvizsgálat, ha nincs mentesség (600 M ÉS 50 fő)</w:t>
            </w:r>
          </w:p>
        </w:tc>
      </w:tr>
    </w:tbl>
    <w:p>
      <w:pPr>
        <w:pStyle w:val="Heading2"/>
      </w:pPr>
      <w:r>
        <w:rPr>
          <w:rFonts w:ascii="Arial" w:cs="Arial" w:eastAsia="Arial" w:hAnsi="Arial"/>
        </w:rPr>
        <w:t xml:space="preserve">IX. Példák</w:t>
      </w:r>
    </w:p>
    <w:p>
      <w:pPr>
        <w:pStyle w:val="ListParagraph"/>
        <w:numPr>
          <w:ilvl w:val="0"/>
          <w:numId w:val="2"/>
        </w:numPr>
        <w:spacing w:after="60" w:line="264"/>
      </w:pPr>
      <w:r>
        <w:rPr>
          <w:rFonts w:ascii="Arial" w:cs="Arial" w:eastAsia="Arial" w:hAnsi="Arial"/>
          <w:b/>
          <w:bCs/>
        </w:rPr>
        <w:t xml:space="preserve">Egyszerűsített éves beszámoló:</w:t>
      </w:r>
      <w:r>
        <w:rPr>
          <w:rFonts w:ascii="Arial" w:cs="Arial" w:eastAsia="Arial" w:hAnsi="Arial"/>
        </w:rPr>
        <w:t xml:space="preserve"> mérlegfőösszeg 2500 M Ft, árbevétel 3500 M Ft, létszám 40 fő mindkét évben → két mutató (árbevétel, létszám) a határ alatt → választható (feltéve, hogy nem anyavállalat stb.).</w:t>
      </w:r>
    </w:p>
    <w:p>
      <w:pPr>
        <w:pStyle w:val="ListParagraph"/>
        <w:numPr>
          <w:ilvl w:val="0"/>
          <w:numId w:val="2"/>
        </w:numPr>
        <w:spacing w:after="60" w:line="264"/>
      </w:pPr>
      <w:r>
        <w:rPr>
          <w:rFonts w:ascii="Arial" w:cs="Arial" w:eastAsia="Arial" w:hAnsi="Arial"/>
          <w:b/>
          <w:bCs/>
        </w:rPr>
        <w:t xml:space="preserve">Könyvvizsgálat:</w:t>
      </w:r>
      <w:r>
        <w:rPr>
          <w:rFonts w:ascii="Arial" w:cs="Arial" w:eastAsia="Arial" w:hAnsi="Arial"/>
        </w:rPr>
        <w:t xml:space="preserve"> előző két év átlagos árbevétele 550 M Ft, átlagos létszám 60 fő → a két feltétel közül csak az egyik teljesül → a könyvvizsgálat kötelező.</w:t>
      </w:r>
    </w:p>
    <w:p>
      <w:pPr>
        <w:pStyle w:val="ListParagraph"/>
        <w:numPr>
          <w:ilvl w:val="0"/>
          <w:numId w:val="2"/>
        </w:numPr>
        <w:spacing w:after="60" w:line="264"/>
      </w:pPr>
      <w:r>
        <w:rPr>
          <w:rFonts w:ascii="Arial" w:cs="Arial" w:eastAsia="Arial" w:hAnsi="Arial"/>
          <w:b/>
          <w:bCs/>
        </w:rPr>
        <w:t xml:space="preserve">Konszolidáció:</w:t>
      </w:r>
      <w:r>
        <w:rPr>
          <w:rFonts w:ascii="Arial" w:cs="Arial" w:eastAsia="Arial" w:hAnsi="Arial"/>
        </w:rPr>
        <w:t xml:space="preserve"> a csoport összesített adatai 12 000 M Ft mérlegfőösszeg, 15 000 M Ft árbevétel, 200 fő → két mutató a határ alatt → a méret szerinti mentesség alkalmazható, ha nincs a csoportban közérdeklődésre számot tartó vagy tőzsdei cég [117. § (4)–(5)].</w:t>
      </w:r>
    </w:p>
    <w:p>
      <w:pPr>
        <w:pStyle w:val="Heading2"/>
      </w:pPr>
      <w:r>
        <w:rPr>
          <w:rFonts w:ascii="Arial" w:cs="Arial" w:eastAsia="Arial" w:hAnsi="Arial"/>
        </w:rPr>
        <w:t xml:space="preserve">X. Kivételek, határesetek</w:t>
      </w:r>
    </w:p>
    <w:p>
      <w:pPr>
        <w:pStyle w:val="ListParagraph"/>
        <w:numPr>
          <w:ilvl w:val="0"/>
          <w:numId w:val="2"/>
        </w:numPr>
        <w:spacing w:after="60" w:line="264"/>
      </w:pPr>
      <w:r>
        <w:rPr>
          <w:rFonts w:ascii="Arial" w:cs="Arial" w:eastAsia="Arial" w:hAnsi="Arial"/>
        </w:rPr>
        <w:t xml:space="preserve">Az egyszerűsített éves beszámolót nem választhatja: nyilvánosan működő rt., anyavállalat, közérdeklődésre számot tartó gazdálkodó, tőzsdei kibocsátó [9. § (3)].</w:t>
      </w:r>
    </w:p>
    <w:p>
      <w:pPr>
        <w:pStyle w:val="ListParagraph"/>
        <w:numPr>
          <w:ilvl w:val="0"/>
          <w:numId w:val="2"/>
        </w:numPr>
        <w:spacing w:after="60" w:line="264"/>
      </w:pPr>
      <w:r>
        <w:rPr>
          <w:rFonts w:ascii="Arial" w:cs="Arial" w:eastAsia="Arial" w:hAnsi="Arial"/>
        </w:rPr>
        <w:t xml:space="preserve">Mikrogazdálkodói beszámolót nem készíthet a befektetési vállalkozás és a pénzügyi holdingvállalkozás [9. § (6a)].</w:t>
      </w:r>
    </w:p>
    <w:p>
      <w:pPr>
        <w:pStyle w:val="ListParagraph"/>
        <w:numPr>
          <w:ilvl w:val="0"/>
          <w:numId w:val="2"/>
        </w:numPr>
        <w:spacing w:after="60" w:line="264"/>
      </w:pPr>
      <w:r>
        <w:rPr>
          <w:rFonts w:ascii="Arial" w:cs="Arial" w:eastAsia="Arial" w:hAnsi="Arial"/>
        </w:rPr>
        <w:t xml:space="preserve">A könyvvizsgálati mentesség nem alkalmazható pl. takarékszövetkezetnél, konszolidált csoporttagnál, fióktelepnél, a 4. § (4) szerint eltérőnél, közérdeklődésre számot tartónál [155. § (5)], és 10 M Ft feletti, 60 napon túli köztartozásnál [155. § (5a)].</w:t>
      </w:r>
    </w:p>
    <w:p>
      <w:pPr>
        <w:pStyle w:val="Heading2"/>
      </w:pPr>
      <w:r>
        <w:rPr>
          <w:rFonts w:ascii="Arial" w:cs="Arial" w:eastAsia="Arial" w:hAnsi="Arial"/>
        </w:rPr>
        <w:t xml:space="preserve">XI. Mi változott 2027-re?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2E7D32" w:sz="12"/>
              <w:left w:val="single" w:color="2E7D32" w:sz="12"/>
              <w:bottom w:val="single" w:color="2E7D32" w:sz="12"/>
              <w:right w:val="single" w:color="2E7D32" w:sz="12"/>
            </w:tcBorders>
            <w:shd w:fill="EAF6EC" w:color="auto" w:val="clear"/>
            <w:tcMar>
              <w:top w:type="dxa" w:w="120"/>
              <w:left w:type="dxa" w:w="160"/>
              <w:bottom w:type="dxa" w:w="120"/>
              <w:right w:type="dxa" w:w="160"/>
            </w:tcMar>
          </w:tcPr>
          <w:p>
            <w:pPr>
              <w:spacing w:after="80"/>
            </w:pPr>
            <w:r>
              <w:rPr>
                <w:rFonts w:ascii="Arial" w:cs="Arial" w:eastAsia="Arial" w:hAnsi="Arial"/>
                <w:b/>
                <w:bCs/>
                <w:color w:val="2E7D32"/>
              </w:rPr>
              <w:t xml:space="preserve">2027-es aktualitás</w:t>
            </w:r>
          </w:p>
          <w:p>
            <w:pPr>
              <w:spacing w:after="80" w:line="276"/>
            </w:pPr>
            <w:r>
              <w:rPr>
                <w:rFonts w:ascii="Arial" w:cs="Arial" w:eastAsia="Arial" w:hAnsi="Arial"/>
                <w:b/>
                <w:bCs/>
              </w:rPr>
              <w:t xml:space="preserve">Értékhatárok:</w:t>
            </w:r>
            <w:r>
              <w:rPr>
                <w:rFonts w:ascii="Arial" w:cs="Arial" w:eastAsia="Arial" w:hAnsi="Arial"/>
              </w:rPr>
              <w:t xml:space="preserve"> a 9. § (2) egyszerűsített éves beszámolói (2000/4000/50) és a 117. § konszolidálási (10 000/20 000/250) határokat a 2024. évi LV. törvény állapította meg – a 2025. 01. 01-jei időállapotban már ezek szerepelnek. A mikrogazdálkodói határokat (180/360/10) a 2025. évi LXXXIV. törvény emelte: a 2025. 09. 01-jei időállapotban még 150/300 M Ft, a 2026. 01. 01-jeitől 180/360 M Ft. (Ellenőrizve az njt időállapotain.)</w:t>
            </w:r>
          </w:p>
          <w:p>
            <w:pPr>
              <w:spacing w:after="80" w:line="276"/>
            </w:pPr>
            <w:r>
              <w:rPr>
                <w:rFonts w:ascii="Arial" w:cs="Arial" w:eastAsia="Arial" w:hAnsi="Arial"/>
                <w:b/>
                <w:bCs/>
              </w:rPr>
              <w:t xml:space="preserve">⟳ IFRS 18:</w:t>
            </w:r>
            <w:r>
              <w:rPr>
                <w:rFonts w:ascii="Arial" w:cs="Arial" w:eastAsia="Arial" w:hAnsi="Arial"/>
              </w:rPr>
              <w:t xml:space="preserve"> a Szt. 114/A. § 2–3. pontja a mérleget és az eredménykimutatást az IAS 1-re hivatkozva definiálja. 2027. 01. 01-jétől az EU-ban az IAS 1 helyébe az IFRS 18 lép; a Szt. 2026. 09. 27-ig nem követte le. Vizsgán: „az IFRS szerint beszámoló gazdálkodóra 2027-ben az IFRS 18 bemutatási szabályai vonatkoznak; a Szt. hivatkozásainak módosítása várható ◆”.</w:t>
            </w:r>
          </w:p>
          <w:p>
            <w:pPr>
              <w:spacing w:after="80" w:line="276"/>
            </w:pPr>
            <w:r>
              <w:rPr>
                <w:rFonts w:ascii="Arial" w:cs="Arial" w:eastAsia="Arial" w:hAnsi="Arial"/>
              </w:rPr>
              <w:t xml:space="preserve">Egyéb, a tétel vizsgamegoldását érintő 2027-es változás nem azonosítható (nincs közzétett jövőbeli Szt.-időállapot).</w:t>
            </w:r>
          </w:p>
        </w:tc>
      </w:tr>
    </w:tbl>
    <w:p>
      <w:pPr>
        <w:pStyle w:val="Heading2"/>
      </w:pPr>
      <w:r>
        <w:rPr>
          <w:rFonts w:ascii="Arial" w:cs="Arial" w:eastAsia="Arial" w:hAnsi="Arial"/>
        </w:rPr>
        <w:t xml:space="preserve">XII. Ha ezt kérdezi a vizsgáztató</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500"/>
        <w:gridCol w:w="6138"/>
      </w:tblGrid>
      <w:tr>
        <w:trPr>
          <w:tblHeader/>
        </w:trPr>
        <w:tc>
          <w:tcPr>
            <w:tcW w:type="dxa" w:w="3500"/>
            <w:tcBorders>
              <w:top w:val="single" w:color="9AA5B1" w:sz="4"/>
              <w:left w:val="single" w:color="9AA5B1" w:sz="4"/>
              <w:bottom w:val="single" w:color="9AA5B1" w:sz="4"/>
              <w:right w:val="single" w:color="9AA5B1" w:sz="4"/>
            </w:tcBorders>
            <w:shd w:fill="1F3864" w:color="auto" w:val="clear"/>
            <w:tcMar>
              <w:top w:type="dxa" w:w="60"/>
              <w:left w:type="dxa" w:w="100"/>
              <w:bottom w:type="dxa" w:w="60"/>
              <w:right w:type="dxa" w:w="100"/>
            </w:tcMar>
          </w:tcPr>
          <w:p>
            <w:pPr>
              <w:spacing w:after="40"/>
            </w:pPr>
            <w:r>
              <w:rPr>
                <w:rFonts w:ascii="Arial" w:cs="Arial" w:eastAsia="Arial" w:hAnsi="Arial"/>
                <w:b/>
                <w:bCs/>
                <w:color w:val="FFFFFF"/>
              </w:rPr>
              <w:t xml:space="preserve">Kérdés</w:t>
            </w:r>
          </w:p>
        </w:tc>
        <w:tc>
          <w:tcPr>
            <w:tcW w:type="dxa" w:w="6138"/>
            <w:tcBorders>
              <w:top w:val="single" w:color="9AA5B1" w:sz="4"/>
              <w:left w:val="single" w:color="9AA5B1" w:sz="4"/>
              <w:bottom w:val="single" w:color="9AA5B1" w:sz="4"/>
              <w:right w:val="single" w:color="9AA5B1" w:sz="4"/>
            </w:tcBorders>
            <w:shd w:fill="1F3864" w:color="auto" w:val="clear"/>
            <w:tcMar>
              <w:top w:type="dxa" w:w="60"/>
              <w:left w:type="dxa" w:w="100"/>
              <w:bottom w:type="dxa" w:w="60"/>
              <w:right w:type="dxa" w:w="100"/>
            </w:tcMar>
          </w:tcPr>
          <w:p>
            <w:pPr>
              <w:spacing w:after="40"/>
            </w:pPr>
            <w:r>
              <w:rPr>
                <w:rFonts w:ascii="Arial" w:cs="Arial" w:eastAsia="Arial" w:hAnsi="Arial"/>
                <w:b/>
                <w:bCs/>
                <w:color w:val="FFFFFF"/>
              </w:rPr>
              <w:t xml:space="preserve">Rövid, elmondható válasz</w:t>
            </w:r>
          </w:p>
        </w:tc>
      </w:tr>
      <w:tr>
        <w:tc>
          <w:tcPr>
            <w:tcW w:type="dxa" w:w="35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Milyen beszámolóformák vannak?</w:t>
            </w:r>
          </w:p>
        </w:tc>
        <w:tc>
          <w:tcPr>
            <w:tcW w:type="dxa" w:w="6138"/>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Éves, egyszerűsített éves (ennek mikrogazdálkodói változata), összevont (konszolidált) éves, egyszerűsített beszámoló [8. § (2)].</w:t>
            </w:r>
          </w:p>
        </w:tc>
      </w:tr>
      <w:tr>
        <w:tc>
          <w:tcPr>
            <w:tcW w:type="dxa" w:w="3500"/>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Mik az egyszerűsített éves beszámoló határai?</w:t>
            </w:r>
          </w:p>
        </w:tc>
        <w:tc>
          <w:tcPr>
            <w:tcW w:type="dxa" w:w="6138"/>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Két egymást követő évben 3-ból 2 nem haladja meg: 2000 M Ft mérlegfőösszeg, 4000 M Ft árbevétel, 50 fő [9. § (2)].</w:t>
            </w:r>
          </w:p>
        </w:tc>
      </w:tr>
      <w:tr>
        <w:tc>
          <w:tcPr>
            <w:tcW w:type="dxa" w:w="35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Mikor nem kötelező a könyvvizsgálat?</w:t>
            </w:r>
          </w:p>
        </w:tc>
        <w:tc>
          <w:tcPr>
            <w:tcW w:type="dxa" w:w="6138"/>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Ha az előző két év átlagában az árbevétel ≤ 600 M Ft ÉS a létszám ≤ 50 fő – mindkettő kell [155. § (3)], és nincs kizáró ok [(5), (5a)].</w:t>
            </w:r>
          </w:p>
        </w:tc>
      </w:tr>
      <w:tr>
        <w:tc>
          <w:tcPr>
            <w:tcW w:type="dxa" w:w="3500"/>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Része-e az üzleti jelentés az éves beszámolónak?</w:t>
            </w:r>
          </w:p>
        </w:tc>
        <w:tc>
          <w:tcPr>
            <w:tcW w:type="dxa" w:w="6138"/>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Nem; vele egyidejűleg kell elkészíteni [19. § (1)].</w:t>
            </w:r>
          </w:p>
        </w:tc>
      </w:tr>
      <w:tr>
        <w:tc>
          <w:tcPr>
            <w:tcW w:type="dxa" w:w="35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Része-e a cash flow-kimutatás?</w:t>
            </w:r>
          </w:p>
        </w:tc>
        <w:tc>
          <w:tcPr>
            <w:tcW w:type="dxa" w:w="6138"/>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Igen, a kiegészítő melléklet kötelező része [88. § (6)].</w:t>
            </w:r>
          </w:p>
        </w:tc>
      </w:tr>
      <w:tr>
        <w:tc>
          <w:tcPr>
            <w:tcW w:type="dxa" w:w="3500"/>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Mikor mentesül a konszolidálás alól az anyavállalat?</w:t>
            </w:r>
          </w:p>
        </w:tc>
        <w:tc>
          <w:tcPr>
            <w:tcW w:type="dxa" w:w="6138"/>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Fölérendelt EGT-anyavállalat konszolidált beszámolója esetén a 116. § feltételeivel, vagy méret alapján (10 000/20 000/250), ha nincs a csoportban PIE vagy tőzsdei cég [117. §].</w:t>
            </w:r>
          </w:p>
        </w:tc>
      </w:tr>
      <w:tr>
        <w:tc>
          <w:tcPr>
            <w:tcW w:type="dxa" w:w="35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Mi a letétbe helyezés határideje?</w:t>
            </w:r>
          </w:p>
        </w:tc>
        <w:tc>
          <w:tcPr>
            <w:tcW w:type="dxa" w:w="6138"/>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Éves: mérlegfordulónapot követő 5. hónap utolsó napja; konszolidált: 6. hónap; EGT-tőzsdei cég: 4. hónap [153. §].</w:t>
            </w:r>
          </w:p>
        </w:tc>
      </w:tr>
      <w:tr>
        <w:tc>
          <w:tcPr>
            <w:tcW w:type="dxa" w:w="3500"/>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Eltérhet az üzleti év a naptári évtől?</w:t>
            </w:r>
          </w:p>
        </w:tc>
        <w:tc>
          <w:tcPr>
            <w:tcW w:type="dxa" w:w="6138"/>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Igen, pl. ciklikus üzletmenet vagy az anyavállalat igénye miatt, de nem hitelintézetnél, biztosítónál és nem a mikrogazdálkodói beszámolót készítőnél [11. § (2)].</w:t>
            </w:r>
          </w:p>
        </w:tc>
      </w:tr>
      <w:tr>
        <w:tc>
          <w:tcPr>
            <w:tcW w:type="dxa" w:w="35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Mi a mérleg „A” és „B” változata közti választás feltétele?</w:t>
            </w:r>
          </w:p>
        </w:tc>
        <w:tc>
          <w:tcPr>
            <w:tcW w:type="dxa" w:w="6138"/>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Szabadon választható, de változtatáskor biztosítani kell az összehasonlíthatóságot és a mellékletben indokolni [22. § (1)].</w:t>
            </w:r>
          </w:p>
        </w:tc>
      </w:tr>
    </w:tbl>
    <w:p>
      <w:pPr>
        <w:pStyle w:val="Heading2"/>
      </w:pPr>
      <w:r>
        <w:rPr>
          <w:rFonts w:ascii="Arial" w:cs="Arial" w:eastAsia="Arial" w:hAnsi="Arial"/>
        </w:rPr>
        <w:t xml:space="preserve">XIII. Erre figyelj! – tipikus hibák és csapdák</w:t>
      </w:r>
    </w:p>
    <w:p>
      <w:pPr>
        <w:pStyle w:val="ListParagraph"/>
        <w:numPr>
          <w:ilvl w:val="0"/>
          <w:numId w:val="2"/>
        </w:numPr>
        <w:spacing w:after="60" w:line="264"/>
      </w:pPr>
      <w:r>
        <w:rPr>
          <w:rFonts w:ascii="Arial" w:cs="Arial" w:eastAsia="Arial" w:hAnsi="Arial"/>
        </w:rPr>
        <w:t xml:space="preserve">! A könyvvizsgálati mentességnél „vagy”-ot mondani: a 600 M Ft árbevétel ÉS az 50 fő együttesen kell.</w:t>
      </w:r>
    </w:p>
    <w:p>
      <w:pPr>
        <w:pStyle w:val="ListParagraph"/>
        <w:numPr>
          <w:ilvl w:val="0"/>
          <w:numId w:val="2"/>
        </w:numPr>
        <w:spacing w:after="60" w:line="264"/>
      </w:pPr>
      <w:r>
        <w:rPr>
          <w:rFonts w:ascii="Arial" w:cs="Arial" w:eastAsia="Arial" w:hAnsi="Arial"/>
        </w:rPr>
        <w:t xml:space="preserve">! Az egyszerűsített beszámolónál egyetlen év adatát nézni: két egymást követő év kell, és 3-ból 2 mutató.</w:t>
      </w:r>
    </w:p>
    <w:p>
      <w:pPr>
        <w:pStyle w:val="ListParagraph"/>
        <w:numPr>
          <w:ilvl w:val="0"/>
          <w:numId w:val="2"/>
        </w:numPr>
        <w:spacing w:after="60" w:line="264"/>
      </w:pPr>
      <w:r>
        <w:rPr>
          <w:rFonts w:ascii="Arial" w:cs="Arial" w:eastAsia="Arial" w:hAnsi="Arial"/>
        </w:rPr>
        <w:t xml:space="preserve">! Az üzleti jelentést a beszámoló részének mondani.</w:t>
      </w:r>
    </w:p>
    <w:p>
      <w:pPr>
        <w:pStyle w:val="ListParagraph"/>
        <w:numPr>
          <w:ilvl w:val="0"/>
          <w:numId w:val="2"/>
        </w:numPr>
        <w:spacing w:after="60" w:line="264"/>
      </w:pPr>
      <w:r>
        <w:rPr>
          <w:rFonts w:ascii="Arial" w:cs="Arial" w:eastAsia="Arial" w:hAnsi="Arial"/>
        </w:rPr>
        <w:t xml:space="preserve">! A régi (2025 előtti, illetve mikrónál 2026 előtti) értékhatárokat mondani.</w:t>
      </w:r>
    </w:p>
    <w:p>
      <w:pPr>
        <w:pStyle w:val="ListParagraph"/>
        <w:numPr>
          <w:ilvl w:val="0"/>
          <w:numId w:val="2"/>
        </w:numPr>
        <w:spacing w:after="60" w:line="264"/>
      </w:pPr>
      <w:r>
        <w:rPr>
          <w:rFonts w:ascii="Arial" w:cs="Arial" w:eastAsia="Arial" w:hAnsi="Arial"/>
        </w:rPr>
        <w:t xml:space="preserve">! A konszolidációs méretmentességet a tőzsdei vagy PIE-csoportra is alkalmazni.</w:t>
      </w:r>
    </w:p>
    <w:p>
      <w:pPr>
        <w:pStyle w:val="ListParagraph"/>
        <w:numPr>
          <w:ilvl w:val="0"/>
          <w:numId w:val="2"/>
        </w:numPr>
        <w:spacing w:after="60" w:line="264"/>
      </w:pPr>
      <w:r>
        <w:rPr>
          <w:rFonts w:ascii="Arial" w:cs="Arial" w:eastAsia="Arial" w:hAnsi="Arial"/>
        </w:rPr>
        <w:t xml:space="preserve">! Összekeverni a letétbe helyezési határidőket (4 / 5 / 6 hónap).</w:t>
      </w:r>
    </w:p>
    <w:p>
      <w:pPr>
        <w:pStyle w:val="Heading2"/>
      </w:pPr>
      <w:r>
        <w:rPr>
          <w:rFonts w:ascii="Arial" w:cs="Arial" w:eastAsia="Arial" w:hAnsi="Arial"/>
        </w:rPr>
        <w:t xml:space="preserve">XIV. Memorizálandó</w:t>
      </w:r>
    </w:p>
    <w:p>
      <w:pPr>
        <w:pStyle w:val="ListParagraph"/>
        <w:numPr>
          <w:ilvl w:val="0"/>
          <w:numId w:val="2"/>
        </w:numPr>
        <w:spacing w:after="60" w:line="264"/>
      </w:pPr>
      <w:r>
        <w:rPr>
          <w:rFonts w:ascii="Arial" w:cs="Arial" w:eastAsia="Arial" w:hAnsi="Arial"/>
        </w:rPr>
        <w:t xml:space="preserve">„A beszámolónak megbízható és valós összképet kell adnia a vagyonról, a pénzügyi helyzetről és az eredményről.”</w:t>
      </w:r>
    </w:p>
    <w:p>
      <w:pPr>
        <w:pStyle w:val="ListParagraph"/>
        <w:numPr>
          <w:ilvl w:val="0"/>
          <w:numId w:val="2"/>
        </w:numPr>
        <w:spacing w:after="60" w:line="264"/>
      </w:pPr>
      <w:r>
        <w:rPr>
          <w:rFonts w:ascii="Arial" w:cs="Arial" w:eastAsia="Arial" w:hAnsi="Arial"/>
        </w:rPr>
        <w:t xml:space="preserve">„Az éves beszámoló mérlegből, eredménykimutatásból és kiegészítő mellékletből áll; mellé üzleti jelentés készül.”</w:t>
      </w:r>
    </w:p>
    <w:p>
      <w:pPr>
        <w:pStyle w:val="ListParagraph"/>
        <w:numPr>
          <w:ilvl w:val="0"/>
          <w:numId w:val="2"/>
        </w:numPr>
        <w:spacing w:after="60" w:line="264"/>
      </w:pPr>
      <w:r>
        <w:rPr>
          <w:rFonts w:ascii="Arial" w:cs="Arial" w:eastAsia="Arial" w:hAnsi="Arial"/>
        </w:rPr>
        <w:t xml:space="preserve">„Egyszerűsített éves beszámoló: két egymást követő évben 3-ból 2 mutató ≤ 2000 M Ft / 4000 M Ft / 50 fő.”</w:t>
      </w:r>
    </w:p>
    <w:p>
      <w:pPr>
        <w:pStyle w:val="ListParagraph"/>
        <w:numPr>
          <w:ilvl w:val="0"/>
          <w:numId w:val="2"/>
        </w:numPr>
        <w:spacing w:after="60" w:line="264"/>
      </w:pPr>
      <w:r>
        <w:rPr>
          <w:rFonts w:ascii="Arial" w:cs="Arial" w:eastAsia="Arial" w:hAnsi="Arial"/>
        </w:rPr>
        <w:t xml:space="preserve">„Az anyavállalat konszolidált beszámolót is készít, hacsak nem mentesül (fölérendelt anyavállalat vagy 10 000 / 20 000 / 250).”</w:t>
      </w:r>
    </w:p>
    <w:p>
      <w:pPr>
        <w:pStyle w:val="ListParagraph"/>
        <w:numPr>
          <w:ilvl w:val="0"/>
          <w:numId w:val="2"/>
        </w:numPr>
        <w:spacing w:after="60" w:line="264"/>
      </w:pPr>
      <w:r>
        <w:rPr>
          <w:rFonts w:ascii="Arial" w:cs="Arial" w:eastAsia="Arial" w:hAnsi="Arial"/>
        </w:rPr>
        <w:t xml:space="preserve">„Letétbe helyezés: az ötödik hónap végéig, a konszolidáltnál a hatodik hónap végéig.”</w:t>
      </w:r>
    </w:p>
    <w:p>
      <w:pPr>
        <w:pStyle w:val="ListParagraph"/>
        <w:numPr>
          <w:ilvl w:val="0"/>
          <w:numId w:val="2"/>
        </w:numPr>
        <w:spacing w:after="60" w:line="264"/>
      </w:pPr>
      <w:r>
        <w:rPr>
          <w:rFonts w:ascii="Arial" w:cs="Arial" w:eastAsia="Arial" w:hAnsi="Arial"/>
        </w:rPr>
        <w:t xml:space="preserve">„A könyvvizsgálat alól az mentesül, akinek két év átlagában árbevétele legfeljebb 600 M Ft ÉS létszáma legfeljebb 50 fő.”</w:t>
      </w:r>
    </w:p>
    <w:p>
      <w:pPr>
        <w:pStyle w:val="Heading2"/>
      </w:pPr>
      <w:r>
        <w:rPr>
          <w:rFonts w:ascii="Arial" w:cs="Arial" w:eastAsia="Arial" w:hAnsi="Arial"/>
        </w:rPr>
        <w:t xml:space="preserve">XV. 1 perces végső vázlat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595959" w:sz="12"/>
              <w:left w:val="single" w:color="595959" w:sz="12"/>
              <w:bottom w:val="single" w:color="595959" w:sz="12"/>
              <w:right w:val="single" w:color="595959" w:sz="12"/>
            </w:tcBorders>
            <w:shd w:fill="F2F2F2" w:color="auto" w:val="clear"/>
            <w:tcMar>
              <w:top w:type="dxa" w:w="120"/>
              <w:left w:type="dxa" w:w="160"/>
              <w:bottom w:type="dxa" w:w="120"/>
              <w:right w:type="dxa" w:w="160"/>
            </w:tcMar>
          </w:tcPr>
          <w:p>
            <w:pPr>
              <w:spacing w:after="80"/>
            </w:pPr>
            <w:r>
              <w:rPr>
                <w:rFonts w:ascii="Arial" w:cs="Arial" w:eastAsia="Arial" w:hAnsi="Arial"/>
                <w:b/>
                <w:bCs/>
                <w:color w:val="595959"/>
              </w:rPr>
              <w:t xml:space="preserve">1 perces vázlat</w:t>
            </w:r>
          </w:p>
          <w:p>
            <w:pPr>
              <w:spacing w:after="80" w:line="276"/>
            </w:pPr>
            <w:r>
              <w:rPr>
                <w:rFonts w:ascii="Arial" w:cs="Arial" w:eastAsia="Arial" w:hAnsi="Arial"/>
                <w:b/>
                <w:bCs/>
              </w:rPr>
              <w:t xml:space="preserve">4. §:</w:t>
            </w:r>
            <w:r>
              <w:rPr>
                <w:rFonts w:ascii="Arial" w:cs="Arial" w:eastAsia="Arial" w:hAnsi="Arial"/>
              </w:rPr>
              <w:t xml:space="preserve"> üzleti évről, zárás után, magyarul, valós összkép → </w:t>
            </w:r>
            <w:r>
              <w:rPr>
                <w:rFonts w:ascii="Arial" w:cs="Arial" w:eastAsia="Arial" w:hAnsi="Arial"/>
                <w:b/>
                <w:bCs/>
              </w:rPr>
              <w:t xml:space="preserve">8. §:</w:t>
            </w:r>
            <w:r>
              <w:rPr>
                <w:rFonts w:ascii="Arial" w:cs="Arial" w:eastAsia="Arial" w:hAnsi="Arial"/>
              </w:rPr>
              <w:t xml:space="preserve"> éves / egyszerűsített éves / konszolidált / egyszerűsített; kettős vs. egyszeres → </w:t>
            </w:r>
            <w:r>
              <w:rPr>
                <w:rFonts w:ascii="Arial" w:cs="Arial" w:eastAsia="Arial" w:hAnsi="Arial"/>
                <w:b/>
                <w:bCs/>
              </w:rPr>
              <w:t xml:space="preserve">9. §:</w:t>
            </w:r>
            <w:r>
              <w:rPr>
                <w:rFonts w:ascii="Arial" w:cs="Arial" w:eastAsia="Arial" w:hAnsi="Arial"/>
              </w:rPr>
              <w:t xml:space="preserve"> éves + üzleti jelentés; egyszerűsített 2000/4000/50 (3-ból 2, 2 év), kizártak; mikro 180/360/10, nem könyvvizsgált, 3 év → </w:t>
            </w:r>
            <w:r>
              <w:rPr>
                <w:rFonts w:ascii="Arial" w:cs="Arial" w:eastAsia="Arial" w:hAnsi="Arial"/>
                <w:b/>
                <w:bCs/>
              </w:rPr>
              <w:t xml:space="preserve">9/A:</w:t>
            </w:r>
            <w:r>
              <w:rPr>
                <w:rFonts w:ascii="Arial" w:cs="Arial" w:eastAsia="Arial" w:hAnsi="Arial"/>
              </w:rPr>
              <w:t xml:space="preserve"> IFRS → </w:t>
            </w:r>
            <w:r>
              <w:rPr>
                <w:rFonts w:ascii="Arial" w:cs="Arial" w:eastAsia="Arial" w:hAnsi="Arial"/>
                <w:b/>
                <w:bCs/>
              </w:rPr>
              <w:t xml:space="preserve">19. §:</w:t>
            </w:r>
            <w:r>
              <w:rPr>
                <w:rFonts w:ascii="Arial" w:cs="Arial" w:eastAsia="Arial" w:hAnsi="Arial"/>
              </w:rPr>
              <w:t xml:space="preserve"> mérleg (A/B) + eredménykimutatás (összköltség/forgalmi) + melléklet (cash flow) + üzleti jelentés → </w:t>
            </w:r>
            <w:r>
              <w:rPr>
                <w:rFonts w:ascii="Arial" w:cs="Arial" w:eastAsia="Arial" w:hAnsi="Arial"/>
                <w:b/>
                <w:bCs/>
              </w:rPr>
              <w:t xml:space="preserve">Konszolidált:</w:t>
            </w:r>
            <w:r>
              <w:rPr>
                <w:rFonts w:ascii="Arial" w:cs="Arial" w:eastAsia="Arial" w:hAnsi="Arial"/>
              </w:rPr>
              <w:t xml:space="preserve"> 10. §; 120. § részei; 116. § fölérendelt; 117. § 10 000/20 000/250; 118–119. § kör → </w:t>
            </w:r>
            <w:r>
              <w:rPr>
                <w:rFonts w:ascii="Arial" w:cs="Arial" w:eastAsia="Arial" w:hAnsi="Arial"/>
                <w:b/>
                <w:bCs/>
              </w:rPr>
              <w:t xml:space="preserve">11. §</w:t>
            </w:r>
            <w:r>
              <w:rPr>
                <w:rFonts w:ascii="Arial" w:cs="Arial" w:eastAsia="Arial" w:hAnsi="Arial"/>
              </w:rPr>
              <w:t xml:space="preserve"> üzleti év → </w:t>
            </w:r>
            <w:r>
              <w:rPr>
                <w:rFonts w:ascii="Arial" w:cs="Arial" w:eastAsia="Arial" w:hAnsi="Arial"/>
                <w:b/>
                <w:bCs/>
              </w:rPr>
              <w:t xml:space="preserve">153–154. §</w:t>
            </w:r>
            <w:r>
              <w:rPr>
                <w:rFonts w:ascii="Arial" w:cs="Arial" w:eastAsia="Arial" w:hAnsi="Arial"/>
              </w:rPr>
              <w:t xml:space="preserve"> letét 5/6/4 hó → </w:t>
            </w:r>
            <w:r>
              <w:rPr>
                <w:rFonts w:ascii="Arial" w:cs="Arial" w:eastAsia="Arial" w:hAnsi="Arial"/>
                <w:b/>
                <w:bCs/>
              </w:rPr>
              <w:t xml:space="preserve">155. §</w:t>
            </w:r>
            <w:r>
              <w:rPr>
                <w:rFonts w:ascii="Arial" w:cs="Arial" w:eastAsia="Arial" w:hAnsi="Arial"/>
              </w:rPr>
              <w:t xml:space="preserve"> könyvvizsgálat 600 M ÉS 50 fő → ⟳ IFRS 18 vs. 114/A. §.</w:t>
            </w:r>
          </w:p>
        </w:tc>
      </w:tr>
    </w:tbl>
    <w:p>
      <w:pPr>
        <w:pStyle w:val="Heading2"/>
      </w:pPr>
      <w:r>
        <w:rPr>
          <w:rFonts w:ascii="Arial" w:cs="Arial" w:eastAsia="Arial" w:hAnsi="Arial"/>
        </w:rPr>
        <w:t xml:space="preserve">Kapcsolódó tételek</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500"/>
        <w:gridCol w:w="8138"/>
      </w:tblGrid>
      <w:tr>
        <w:trPr>
          <w:tblHeader/>
        </w:trPr>
        <w:tc>
          <w:tcPr>
            <w:tcW w:type="dxa" w:w="1500"/>
            <w:tcBorders>
              <w:top w:val="single" w:color="9AA5B1" w:sz="4"/>
              <w:left w:val="single" w:color="9AA5B1" w:sz="4"/>
              <w:bottom w:val="single" w:color="9AA5B1" w:sz="4"/>
              <w:right w:val="single" w:color="9AA5B1" w:sz="4"/>
            </w:tcBorders>
            <w:shd w:fill="1F3864" w:color="auto" w:val="clear"/>
            <w:tcMar>
              <w:top w:type="dxa" w:w="60"/>
              <w:left w:type="dxa" w:w="100"/>
              <w:bottom w:type="dxa" w:w="60"/>
              <w:right w:type="dxa" w:w="100"/>
            </w:tcMar>
          </w:tcPr>
          <w:p>
            <w:pPr>
              <w:spacing w:after="40"/>
            </w:pPr>
            <w:r>
              <w:rPr>
                <w:rFonts w:ascii="Arial" w:cs="Arial" w:eastAsia="Arial" w:hAnsi="Arial"/>
                <w:b/>
                <w:bCs/>
                <w:color w:val="FFFFFF"/>
              </w:rPr>
              <w:t xml:space="preserve">Tétel</w:t>
            </w:r>
          </w:p>
        </w:tc>
        <w:tc>
          <w:tcPr>
            <w:tcW w:type="dxa" w:w="8138"/>
            <w:tcBorders>
              <w:top w:val="single" w:color="9AA5B1" w:sz="4"/>
              <w:left w:val="single" w:color="9AA5B1" w:sz="4"/>
              <w:bottom w:val="single" w:color="9AA5B1" w:sz="4"/>
              <w:right w:val="single" w:color="9AA5B1" w:sz="4"/>
            </w:tcBorders>
            <w:shd w:fill="1F3864" w:color="auto" w:val="clear"/>
            <w:tcMar>
              <w:top w:type="dxa" w:w="60"/>
              <w:left w:type="dxa" w:w="100"/>
              <w:bottom w:type="dxa" w:w="60"/>
              <w:right w:type="dxa" w:w="100"/>
            </w:tcMar>
          </w:tcPr>
          <w:p>
            <w:pPr>
              <w:spacing w:after="40"/>
            </w:pPr>
            <w:r>
              <w:rPr>
                <w:rFonts w:ascii="Arial" w:cs="Arial" w:eastAsia="Arial" w:hAnsi="Arial"/>
                <w:b/>
                <w:bCs/>
                <w:color w:val="FFFFFF"/>
              </w:rPr>
              <w:t xml:space="preserve">Miért kapcsolódik?</w:t>
            </w:r>
          </w:p>
        </w:tc>
      </w:tr>
      <w:tr>
        <w:tc>
          <w:tcPr>
            <w:tcW w:type="dxa" w:w="15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1/b</w:t>
            </w:r>
          </w:p>
        </w:tc>
        <w:tc>
          <w:tcPr>
            <w:tcW w:type="dxa" w:w="8138"/>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A szabályozás rétegei és az érdekhordozók – a beszámolóformák lépcsőzésének oka.</w:t>
            </w:r>
          </w:p>
        </w:tc>
      </w:tr>
      <w:tr>
        <w:tc>
          <w:tcPr>
            <w:tcW w:type="dxa" w:w="1500"/>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11/c, 12/c–14/c</w:t>
            </w:r>
          </w:p>
        </w:tc>
        <w:tc>
          <w:tcPr>
            <w:tcW w:type="dxa" w:w="8138"/>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Konszolidálás: mentességek, előkészítés, tőke-, adósság-, eredménykonszolidálás.</w:t>
            </w:r>
          </w:p>
        </w:tc>
      </w:tr>
      <w:tr>
        <w:tc>
          <w:tcPr>
            <w:tcW w:type="dxa" w:w="15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17/a, 30/b</w:t>
            </w:r>
          </w:p>
        </w:tc>
        <w:tc>
          <w:tcPr>
            <w:tcW w:type="dxa" w:w="8138"/>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Egyszerűsített éves és mikrogazdálkodói beszámoló.</w:t>
            </w:r>
          </w:p>
        </w:tc>
      </w:tr>
      <w:tr>
        <w:tc>
          <w:tcPr>
            <w:tcW w:type="dxa" w:w="1500"/>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19/a</w:t>
            </w:r>
          </w:p>
        </w:tc>
        <w:tc>
          <w:tcPr>
            <w:tcW w:type="dxa" w:w="8138"/>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Üzleti év.</w:t>
            </w:r>
          </w:p>
        </w:tc>
      </w:tr>
      <w:tr>
        <w:tc>
          <w:tcPr>
            <w:tcW w:type="dxa" w:w="15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33/a</w:t>
            </w:r>
          </w:p>
        </w:tc>
        <w:tc>
          <w:tcPr>
            <w:tcW w:type="dxa" w:w="8138"/>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Üzleti jelentés.</w:t>
            </w:r>
          </w:p>
        </w:tc>
      </w:tr>
      <w:tr>
        <w:tc>
          <w:tcPr>
            <w:tcW w:type="dxa" w:w="1500"/>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15/a</w:t>
            </w:r>
          </w:p>
        </w:tc>
        <w:tc>
          <w:tcPr>
            <w:tcW w:type="dxa" w:w="8138"/>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Könyvvizsgálati kötelezettség.</w:t>
            </w:r>
          </w:p>
        </w:tc>
      </w:tr>
    </w:tbl>
    <w:p>
      <w:pPr>
        <w:pStyle w:val="Heading1"/>
        <w:pageBreakBefore/>
      </w:pPr>
      <w:r>
        <w:rPr>
          <w:rFonts w:ascii="Arial" w:cs="Arial" w:eastAsia="Arial" w:hAnsi="Arial"/>
        </w:rPr>
        <w:t xml:space="preserve">C. Devizás értékelés.</w:t>
      </w:r>
    </w:p>
    <w:p>
      <w:pPr>
        <w:spacing w:after="100" w:line="276"/>
      </w:pPr>
      <w:r>
        <w:rPr>
          <w:rFonts w:ascii="Arial" w:cs="Arial" w:eastAsia="Arial" w:hAnsi="Arial"/>
          <w:b/>
          <w:bCs/>
        </w:rPr>
        <w:t xml:space="preserve">Jogforrás:</w:t>
      </w:r>
      <w:r>
        <w:rPr>
          <w:rFonts w:ascii="Arial" w:cs="Arial" w:eastAsia="Arial" w:hAnsi="Arial"/>
        </w:rPr>
        <w:t xml:space="preserve"> Szt. 60. § (1)–(11); 47. § (4) c); 54. § (2) c), (7); 55. § (3)–(4); 68. § (3)–(6); 75. § (7); 84. § (7) f)–g); 85. § (3) f)–g); keresztárfolyam: 3. § (8) 20.</w:t>
      </w:r>
    </w:p>
    <w:p>
      <w:pPr>
        <w:pStyle w:val="Heading2"/>
      </w:pPr>
      <w:r>
        <w:rPr>
          <w:rFonts w:ascii="Arial" w:cs="Arial" w:eastAsia="Arial" w:hAnsi="Arial"/>
        </w:rPr>
        <w:t xml:space="preserve">1. A lényeg 2–3 mondatban</w:t>
      </w:r>
    </w:p>
    <w:p>
      <w:pPr>
        <w:spacing w:after="100" w:line="276"/>
      </w:pPr>
      <w:r>
        <w:rPr>
          <w:rFonts w:ascii="Arial" w:cs="Arial" w:eastAsia="Arial" w:hAnsi="Arial"/>
        </w:rPr>
        <w:t xml:space="preserve">A külföldi pénzértékre szóló eszközöket és kötelezettségeket </w:t>
      </w:r>
      <w:r>
        <w:rPr>
          <w:rFonts w:ascii="Arial" w:cs="Arial" w:eastAsia="Arial" w:hAnsi="Arial"/>
          <w:b/>
          <w:bCs/>
        </w:rPr>
        <w:t xml:space="preserve">bekerüléskor</w:t>
      </w:r>
      <w:r>
        <w:rPr>
          <w:rFonts w:ascii="Arial" w:cs="Arial" w:eastAsia="Arial" w:hAnsi="Arial"/>
        </w:rPr>
        <w:t xml:space="preserve"> a bekerülés, illetve a szerződés szerinti teljesítés napjára vonatkozó, a gazdálkodó által választott árfolyamon kell forintra átszámítva nyilvántartásba venni; a </w:t>
      </w:r>
      <w:r>
        <w:rPr>
          <w:rFonts w:ascii="Arial" w:cs="Arial" w:eastAsia="Arial" w:hAnsi="Arial"/>
          <w:b/>
          <w:bCs/>
        </w:rPr>
        <w:t xml:space="preserve">mérlegfordulónapon</w:t>
      </w:r>
      <w:r>
        <w:rPr>
          <w:rFonts w:ascii="Arial" w:cs="Arial" w:eastAsia="Arial" w:hAnsi="Arial"/>
        </w:rPr>
        <w:t xml:space="preserve"> a monetáris devizás tételeket a fordulónapi árfolyamon kell átértékelni, és a különbözetet összevontan, egyenlegében árfolyamnyereségként vagy -veszteségként a pénzügyi műveletek között kell elszámolni. A pénzügyileg </w:t>
      </w:r>
      <w:r>
        <w:rPr>
          <w:rFonts w:ascii="Arial" w:cs="Arial" w:eastAsia="Arial" w:hAnsi="Arial"/>
          <w:b/>
          <w:bCs/>
        </w:rPr>
        <w:t xml:space="preserve">realizált</w:t>
      </w:r>
      <w:r>
        <w:rPr>
          <w:rFonts w:ascii="Arial" w:cs="Arial" w:eastAsia="Arial" w:hAnsi="Arial"/>
        </w:rPr>
        <w:t xml:space="preserve"> árfolyamkülönbözet szintén a pénzügyi műveletek eredményét érinti. A választható árfolyam: a választott hitelintézet vételi és eladási árfolyamának átlaga, vagy az MNB, illetve az EKB hivatalos árfolyama.</w:t>
      </w:r>
    </w:p>
    <w:p>
      <w:pPr>
        <w:pStyle w:val="Heading2"/>
      </w:pPr>
      <w:r>
        <w:rPr>
          <w:rFonts w:ascii="Arial" w:cs="Arial" w:eastAsia="Arial" w:hAnsi="Arial"/>
        </w:rPr>
        <w:t xml:space="preserve">3. Szóbeli felelet – mondható változat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1F3864" w:sz="12"/>
              <w:left w:val="single" w:color="1F3864" w:sz="12"/>
              <w:bottom w:val="single" w:color="1F3864" w:sz="12"/>
              <w:right w:val="single" w:color="1F3864" w:sz="12"/>
            </w:tcBorders>
            <w:shd w:fill="E8F1FB" w:color="auto" w:val="clear"/>
            <w:tcMar>
              <w:top w:type="dxa" w:w="120"/>
              <w:left w:type="dxa" w:w="160"/>
              <w:bottom w:type="dxa" w:w="120"/>
              <w:right w:type="dxa" w:w="160"/>
            </w:tcMar>
          </w:tcPr>
          <w:p>
            <w:pPr>
              <w:spacing w:after="80"/>
            </w:pPr>
            <w:r>
              <w:rPr>
                <w:rFonts w:ascii="Arial" w:cs="Arial" w:eastAsia="Arial" w:hAnsi="Arial"/>
                <w:b/>
                <w:bCs/>
                <w:color w:val="1F3864"/>
              </w:rPr>
              <w:t xml:space="preserve">Mondd el így (kb. 6–8 perc)</w:t>
            </w:r>
          </w:p>
          <w:p>
            <w:pPr>
              <w:spacing w:after="80" w:line="276"/>
            </w:pPr>
            <w:r>
              <w:rPr>
                <w:rFonts w:ascii="Arial" w:cs="Arial" w:eastAsia="Arial" w:hAnsi="Arial"/>
                <w:b/>
                <w:bCs/>
              </w:rPr>
              <w:t xml:space="preserve">Bekerülés.</w:t>
            </w:r>
            <w:r>
              <w:rPr>
                <w:rFonts w:ascii="Arial" w:cs="Arial" w:eastAsia="Arial" w:hAnsi="Arial"/>
              </w:rPr>
              <w:t xml:space="preserve"> A valutapénztárba kerülő valutát, a devizaszámlára kerülő devizát, a külföldi pénzértékre szóló követelést, befektetett pénzügyi eszközt, értékpapírt és kötelezettséget a bekerülés napjára, illetve a szerződés szerinti teljesítés napjára vonatkozó árfolyamon átszámított forintértéken kell nyilvántartásba venni. Kivétel a forintért vásárolt valuta és deviza: ezt a ténylegesen fizetett forintösszegben kell felvenni, és ebből kell a nyilvántartási árfolyamot meghatározni. A devizás árbevételt is a szerződés szerinti teljesítés napjára vonatkozó árfolyamon kell forintra átszámítani.</w:t>
            </w:r>
          </w:p>
          <w:p>
            <w:pPr>
              <w:spacing w:after="80" w:line="276"/>
            </w:pPr>
            <w:r>
              <w:rPr>
                <w:rFonts w:ascii="Arial" w:cs="Arial" w:eastAsia="Arial" w:hAnsi="Arial"/>
                <w:b/>
                <w:bCs/>
              </w:rPr>
              <w:t xml:space="preserve">Az árfolyam.</w:t>
            </w:r>
            <w:r>
              <w:rPr>
                <w:rFonts w:ascii="Arial" w:cs="Arial" w:eastAsia="Arial" w:hAnsi="Arial"/>
              </w:rPr>
              <w:t xml:space="preserve"> A gazdálkodó választhatja a választott hitelintézet devizavételi és devizaeladási árfolyamának átlagát, vagy az MNB, illetve az EKB hivatalos árfolyamát. Ha az adott valutát egyik sem jegyzi, szabadpiaci árfolyamon egy jegyzett devizára, majd azt forintra kell átszámítani. A számviteli politikában dönthet úgy is, hogy a devizás követelések és kötelezettségek forintértékét az áfatörvény szerinti árfolyamon határozza meg. Ha az átlagárfolyam alkalmazása jelentős hatás miatt nem adna valós képet, egységesen csak vételi vagy csak eladási árfolyamon is lehet értékelni. Ha a bank naponta többször jegyez, a számviteli politikában kell meghatározni, melyik jegyzést használja.</w:t>
            </w:r>
          </w:p>
          <w:p>
            <w:pPr>
              <w:spacing w:after="80" w:line="276"/>
            </w:pPr>
            <w:r>
              <w:rPr>
                <w:rFonts w:ascii="Arial" w:cs="Arial" w:eastAsia="Arial" w:hAnsi="Arial"/>
                <w:b/>
                <w:bCs/>
              </w:rPr>
              <w:t xml:space="preserve">Fordulónapi értékelés.</w:t>
            </w:r>
            <w:r>
              <w:rPr>
                <w:rFonts w:ascii="Arial" w:cs="Arial" w:eastAsia="Arial" w:hAnsi="Arial"/>
              </w:rPr>
              <w:t xml:space="preserve"> A mérlegben a valutakészletet, a devizaszámlán lévő devizát, a külföldi pénzértékre szóló – az értékvesztési szabályok szerint minősített – követeléseket, ideértve a követelés jellegű aktív időbeli elhatárolásokat is, a befektetett pénzügyi eszközöket, értékpapírokat és kötelezettségeket, ideértve a kötelezettség jellegű passzív elhatárolásokat is, a fordulónapi árfolyamon átszámított forintértéken kell kimutatni. Az értékelés előtti könyv szerinti érték és az új forintérték különbözetét </w:t>
            </w:r>
            <w:r>
              <w:rPr>
                <w:rFonts w:ascii="Arial" w:cs="Arial" w:eastAsia="Arial" w:hAnsi="Arial"/>
                <w:b/>
                <w:bCs/>
              </w:rPr>
              <w:t xml:space="preserve">összevontan</w:t>
            </w:r>
            <w:r>
              <w:rPr>
                <w:rFonts w:ascii="Arial" w:cs="Arial" w:eastAsia="Arial" w:hAnsi="Arial"/>
              </w:rPr>
              <w:t xml:space="preserve"> kell kezelni: ha egyenlegében veszteség, a pénzügyi műveletek egyéb ráfordításai, ha nyereség, a pénzügyi műveletek egyéb bevételei között kell elszámolni. Ez tehát nettó elszámolás, a bruttó elszámolás elvének törvényi kivétele.</w:t>
            </w:r>
          </w:p>
          <w:p>
            <w:pPr>
              <w:spacing w:after="80" w:line="276"/>
            </w:pPr>
            <w:r>
              <w:rPr>
                <w:rFonts w:ascii="Arial" w:cs="Arial" w:eastAsia="Arial" w:hAnsi="Arial"/>
                <w:b/>
                <w:bCs/>
              </w:rPr>
              <w:t xml:space="preserve">Realizált különbözet.</w:t>
            </w:r>
            <w:r>
              <w:rPr>
                <w:rFonts w:ascii="Arial" w:cs="Arial" w:eastAsia="Arial" w:hAnsi="Arial"/>
              </w:rPr>
              <w:t xml:space="preserve"> A deviza- és valutakészlet forintra váltásának árfolyamnyeresége, illetve -vesztesége, valamint a követelésekhez és kötelezettségekhez kapcsolódó, az üzleti évben pénzügyileg realizált árfolyamkülönbözet szintén a pénzügyi műveletek bevételei, illetve ráfordításai közé tartozik.</w:t>
            </w:r>
          </w:p>
          <w:p>
            <w:pPr>
              <w:spacing w:after="80" w:line="276"/>
            </w:pPr>
            <w:r>
              <w:rPr>
                <w:rFonts w:ascii="Arial" w:cs="Arial" w:eastAsia="Arial" w:hAnsi="Arial"/>
                <w:b/>
                <w:bCs/>
              </w:rPr>
              <w:t xml:space="preserve">Kivételek és sajátos esetek.</w:t>
            </w:r>
            <w:r>
              <w:rPr>
                <w:rFonts w:ascii="Arial" w:cs="Arial" w:eastAsia="Arial" w:hAnsi="Arial"/>
              </w:rPr>
              <w:t xml:space="preserve"> Ha a beruházáshoz vagy vagyoni értékű joghoz közvetlenül kapcsolódó, devizakészlettel nem fedezett devizakötelezettségnek az üzembe helyezésig keletkezik árfolyamkülönbözete, az a bekerülési érték része – akár nyereség, akár veszteség. A külföldi pénzértékre szóló részesedésnél és hitelviszonyt megtestesítő értékpapírnál az értékvesztést devizában kell megállapítani, és először azt kell a nyilvántartási árfolyamon elszámolni, csak utána az árfolyamváltozást. A devizában kapott előleget a 60. § szerint átszámított összegben kell kimutatni. Valós értékelést alkalmazónál a külföldi nettó befektetés fedezett részének árfolyam-különbözete az értékelési tartalékba kerül. A nem realizált árfolyamveszteség elhatárolásának lehetőségét a 3/c tétel tárgyalja.</w:t>
            </w:r>
          </w:p>
          <w:p>
            <w:pPr>
              <w:spacing w:after="80" w:line="276"/>
            </w:pPr>
            <w:r>
              <w:rPr>
                <w:rFonts w:ascii="Arial" w:cs="Arial" w:eastAsia="Arial" w:hAnsi="Arial"/>
                <w:b/>
                <w:bCs/>
              </w:rPr>
              <w:t xml:space="preserve">Összefüggések.</w:t>
            </w:r>
            <w:r>
              <w:rPr>
                <w:rFonts w:ascii="Arial" w:cs="Arial" w:eastAsia="Arial" w:hAnsi="Arial"/>
              </w:rPr>
              <w:t xml:space="preserve"> Az árfolyamválasztást és a napon belüli jegyzés kiválasztását a számviteli politikában kell rögzíteni; a kiegészítő mellékletben be kell mutatni az értékelési eljárásokat. Áfában az adóalap forintra átszámításának saját szabálya van, a Szt. ezt választhatóan átveheti.</w:t>
            </w:r>
          </w:p>
        </w:tc>
      </w:tr>
    </w:tbl>
    <w:p>
      <w:pPr>
        <w:pStyle w:val="Heading2"/>
      </w:pPr>
      <w:r>
        <w:rPr>
          <w:rFonts w:ascii="Arial" w:cs="Arial" w:eastAsia="Arial" w:hAnsi="Arial"/>
        </w:rPr>
        <w:t xml:space="preserve">4. Jogszabályi háttér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600"/>
        <w:gridCol w:w="3700"/>
        <w:gridCol w:w="2338"/>
      </w:tblGrid>
      <w:tr>
        <w:trPr>
          <w:tblHeader/>
        </w:trPr>
        <w:tc>
          <w:tcPr>
            <w:tcW w:type="dxa" w:w="3600"/>
            <w:tcBorders>
              <w:top w:val="single" w:color="9AA5B1" w:sz="4"/>
              <w:left w:val="single" w:color="9AA5B1" w:sz="4"/>
              <w:bottom w:val="single" w:color="9AA5B1" w:sz="4"/>
              <w:right w:val="single" w:color="9AA5B1" w:sz="4"/>
            </w:tcBorders>
            <w:shd w:fill="1F3864" w:color="auto" w:val="clear"/>
            <w:tcMar>
              <w:top w:type="dxa" w:w="60"/>
              <w:left w:type="dxa" w:w="100"/>
              <w:bottom w:type="dxa" w:w="60"/>
              <w:right w:type="dxa" w:w="100"/>
            </w:tcMar>
          </w:tcPr>
          <w:p>
            <w:pPr>
              <w:spacing w:after="40"/>
            </w:pPr>
            <w:r>
              <w:rPr>
                <w:rFonts w:ascii="Arial" w:cs="Arial" w:eastAsia="Arial" w:hAnsi="Arial"/>
                <w:b/>
                <w:bCs/>
                <w:color w:val="FFFFFF"/>
              </w:rPr>
              <w:t xml:space="preserve">Téma</w:t>
            </w:r>
          </w:p>
        </w:tc>
        <w:tc>
          <w:tcPr>
            <w:tcW w:type="dxa" w:w="3700"/>
            <w:tcBorders>
              <w:top w:val="single" w:color="9AA5B1" w:sz="4"/>
              <w:left w:val="single" w:color="9AA5B1" w:sz="4"/>
              <w:bottom w:val="single" w:color="9AA5B1" w:sz="4"/>
              <w:right w:val="single" w:color="9AA5B1" w:sz="4"/>
            </w:tcBorders>
            <w:shd w:fill="1F3864" w:color="auto" w:val="clear"/>
            <w:tcMar>
              <w:top w:type="dxa" w:w="60"/>
              <w:left w:type="dxa" w:w="100"/>
              <w:bottom w:type="dxa" w:w="60"/>
              <w:right w:type="dxa" w:w="100"/>
            </w:tcMar>
          </w:tcPr>
          <w:p>
            <w:pPr>
              <w:spacing w:after="40"/>
            </w:pPr>
            <w:r>
              <w:rPr>
                <w:rFonts w:ascii="Arial" w:cs="Arial" w:eastAsia="Arial" w:hAnsi="Arial"/>
                <w:b/>
                <w:bCs/>
                <w:color w:val="FFFFFF"/>
              </w:rPr>
              <w:t xml:space="preserve">Jogszabályhely</w:t>
            </w:r>
          </w:p>
        </w:tc>
        <w:tc>
          <w:tcPr>
            <w:tcW w:type="dxa" w:w="2338"/>
            <w:tcBorders>
              <w:top w:val="single" w:color="9AA5B1" w:sz="4"/>
              <w:left w:val="single" w:color="9AA5B1" w:sz="4"/>
              <w:bottom w:val="single" w:color="9AA5B1" w:sz="4"/>
              <w:right w:val="single" w:color="9AA5B1" w:sz="4"/>
            </w:tcBorders>
            <w:shd w:fill="1F3864" w:color="auto" w:val="clear"/>
            <w:tcMar>
              <w:top w:type="dxa" w:w="60"/>
              <w:left w:type="dxa" w:w="100"/>
              <w:bottom w:type="dxa" w:w="60"/>
              <w:right w:type="dxa" w:w="100"/>
            </w:tcMar>
          </w:tcPr>
          <w:p>
            <w:pPr>
              <w:spacing w:after="40"/>
            </w:pPr>
            <w:r>
              <w:rPr>
                <w:rFonts w:ascii="Arial" w:cs="Arial" w:eastAsia="Arial" w:hAnsi="Arial"/>
                <w:b/>
                <w:bCs/>
                <w:color w:val="FFFFFF"/>
              </w:rPr>
              <w:t xml:space="preserve">Ellenőrzés</w:t>
            </w:r>
          </w:p>
        </w:tc>
      </w:tr>
      <w:tr>
        <w:tc>
          <w:tcPr>
            <w:tcW w:type="dxa" w:w="36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Bekerülés, forintért vásárolt deviza</w:t>
            </w:r>
          </w:p>
        </w:tc>
        <w:tc>
          <w:tcPr>
            <w:tcW w:type="dxa" w:w="37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Szt. 60. § (1)</w:t>
            </w:r>
          </w:p>
        </w:tc>
        <w:tc>
          <w:tcPr>
            <w:tcW w:type="dxa" w:w="2338"/>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 njt</w:t>
            </w:r>
          </w:p>
        </w:tc>
      </w:tr>
      <w:tr>
        <w:tc>
          <w:tcPr>
            <w:tcW w:type="dxa" w:w="3600"/>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Fordulónapi értékelés köre</w:t>
            </w:r>
          </w:p>
        </w:tc>
        <w:tc>
          <w:tcPr>
            <w:tcW w:type="dxa" w:w="3700"/>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Szt. 60. § (2)</w:t>
            </w:r>
          </w:p>
        </w:tc>
        <w:tc>
          <w:tcPr>
            <w:tcW w:type="dxa" w:w="2338"/>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 njt</w:t>
            </w:r>
          </w:p>
        </w:tc>
      </w:tr>
      <w:tr>
        <w:tc>
          <w:tcPr>
            <w:tcW w:type="dxa" w:w="36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Összevont különbözet, pénzügyi műveletek</w:t>
            </w:r>
          </w:p>
        </w:tc>
        <w:tc>
          <w:tcPr>
            <w:tcW w:type="dxa" w:w="37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Szt. 60. § (3); 84. § (7) g); 85. § (3) g)</w:t>
            </w:r>
          </w:p>
        </w:tc>
        <w:tc>
          <w:tcPr>
            <w:tcW w:type="dxa" w:w="2338"/>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 njt</w:t>
            </w:r>
          </w:p>
        </w:tc>
      </w:tr>
      <w:tr>
        <w:tc>
          <w:tcPr>
            <w:tcW w:type="dxa" w:w="3600"/>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Választható árfolyamok; nem jegyzett valuta; áfa-árfolyam; vételi/eladási; napon belüli jegyzés</w:t>
            </w:r>
          </w:p>
        </w:tc>
        <w:tc>
          <w:tcPr>
            <w:tcW w:type="dxa" w:w="3700"/>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Szt. 60. § (4)–(6), (10)</w:t>
            </w:r>
          </w:p>
        </w:tc>
        <w:tc>
          <w:tcPr>
            <w:tcW w:type="dxa" w:w="2338"/>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 njt</w:t>
            </w:r>
          </w:p>
        </w:tc>
      </w:tr>
      <w:tr>
        <w:tc>
          <w:tcPr>
            <w:tcW w:type="dxa" w:w="36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Devizaalapú szerződések; külföldi nettó befektetés (valós értékelés); értékhelyesbítés</w:t>
            </w:r>
          </w:p>
        </w:tc>
        <w:tc>
          <w:tcPr>
            <w:tcW w:type="dxa" w:w="37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Szt. 60. § (7)–(9)</w:t>
            </w:r>
          </w:p>
        </w:tc>
        <w:tc>
          <w:tcPr>
            <w:tcW w:type="dxa" w:w="2338"/>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 njt</w:t>
            </w:r>
          </w:p>
        </w:tc>
      </w:tr>
      <w:tr>
        <w:tc>
          <w:tcPr>
            <w:tcW w:type="dxa" w:w="3600"/>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Deviza-könyvvezetés</w:t>
            </w:r>
          </w:p>
        </w:tc>
        <w:tc>
          <w:tcPr>
            <w:tcW w:type="dxa" w:w="3700"/>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Szt. 60. § (11)</w:t>
            </w:r>
          </w:p>
        </w:tc>
        <w:tc>
          <w:tcPr>
            <w:tcW w:type="dxa" w:w="2338"/>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 njt</w:t>
            </w:r>
          </w:p>
        </w:tc>
      </w:tr>
      <w:tr>
        <w:tc>
          <w:tcPr>
            <w:tcW w:type="dxa" w:w="36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Realizált árfolyamkülönbözet</w:t>
            </w:r>
          </w:p>
        </w:tc>
        <w:tc>
          <w:tcPr>
            <w:tcW w:type="dxa" w:w="37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Szt. 84. § (7) f); 85. § (3) f)</w:t>
            </w:r>
          </w:p>
        </w:tc>
        <w:tc>
          <w:tcPr>
            <w:tcW w:type="dxa" w:w="2338"/>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 njt</w:t>
            </w:r>
          </w:p>
        </w:tc>
      </w:tr>
      <w:tr>
        <w:tc>
          <w:tcPr>
            <w:tcW w:type="dxa" w:w="3600"/>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Beruházási devizahitel árfolyamkülönbözete a bekerülési értékben</w:t>
            </w:r>
          </w:p>
        </w:tc>
        <w:tc>
          <w:tcPr>
            <w:tcW w:type="dxa" w:w="3700"/>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Szt. 47. § (4) c)</w:t>
            </w:r>
          </w:p>
        </w:tc>
        <w:tc>
          <w:tcPr>
            <w:tcW w:type="dxa" w:w="2338"/>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 njt</w:t>
            </w:r>
          </w:p>
        </w:tc>
      </w:tr>
      <w:tr>
        <w:tc>
          <w:tcPr>
            <w:tcW w:type="dxa" w:w="36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Devizás részesedés és értékpapír értékvesztése</w:t>
            </w:r>
          </w:p>
        </w:tc>
        <w:tc>
          <w:tcPr>
            <w:tcW w:type="dxa" w:w="37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Szt. 54. § (2) c), (7)</w:t>
            </w:r>
          </w:p>
        </w:tc>
        <w:tc>
          <w:tcPr>
            <w:tcW w:type="dxa" w:w="2338"/>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 njt</w:t>
            </w:r>
          </w:p>
        </w:tc>
      </w:tr>
      <w:tr>
        <w:tc>
          <w:tcPr>
            <w:tcW w:type="dxa" w:w="3600"/>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Devizakövetelés értékvesztésének visszaírási korlátja</w:t>
            </w:r>
          </w:p>
        </w:tc>
        <w:tc>
          <w:tcPr>
            <w:tcW w:type="dxa" w:w="3700"/>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Szt. 55. § (3)–(4)</w:t>
            </w:r>
          </w:p>
        </w:tc>
        <w:tc>
          <w:tcPr>
            <w:tcW w:type="dxa" w:w="2338"/>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 njt</w:t>
            </w:r>
          </w:p>
        </w:tc>
      </w:tr>
      <w:tr>
        <w:tc>
          <w:tcPr>
            <w:tcW w:type="dxa" w:w="36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Devizás előleg, hitel, szállítói és váltótartozás</w:t>
            </w:r>
          </w:p>
        </w:tc>
        <w:tc>
          <w:tcPr>
            <w:tcW w:type="dxa" w:w="37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Szt. 68. § (3)–(6)</w:t>
            </w:r>
          </w:p>
        </w:tc>
        <w:tc>
          <w:tcPr>
            <w:tcW w:type="dxa" w:w="2338"/>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 njt</w:t>
            </w:r>
          </w:p>
        </w:tc>
      </w:tr>
      <w:tr>
        <w:tc>
          <w:tcPr>
            <w:tcW w:type="dxa" w:w="3600"/>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Devizás árbevétel átszámítása</w:t>
            </w:r>
          </w:p>
        </w:tc>
        <w:tc>
          <w:tcPr>
            <w:tcW w:type="dxa" w:w="3700"/>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Szt. 75. § (7)</w:t>
            </w:r>
          </w:p>
        </w:tc>
        <w:tc>
          <w:tcPr>
            <w:tcW w:type="dxa" w:w="2338"/>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 njt</w:t>
            </w:r>
          </w:p>
        </w:tc>
      </w:tr>
      <w:tr>
        <w:tc>
          <w:tcPr>
            <w:tcW w:type="dxa" w:w="36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Keresztárfolyam</w:t>
            </w:r>
          </w:p>
        </w:tc>
        <w:tc>
          <w:tcPr>
            <w:tcW w:type="dxa" w:w="37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Szt. 3. § (8) 20.</w:t>
            </w:r>
          </w:p>
        </w:tc>
        <w:tc>
          <w:tcPr>
            <w:tcW w:type="dxa" w:w="2338"/>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 njt</w:t>
            </w:r>
          </w:p>
        </w:tc>
      </w:tr>
      <w:tr>
        <w:tc>
          <w:tcPr>
            <w:tcW w:type="dxa" w:w="3600"/>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Áfa-adóalap árfolyama</w:t>
            </w:r>
          </w:p>
        </w:tc>
        <w:tc>
          <w:tcPr>
            <w:tcW w:type="dxa" w:w="3700"/>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Áfa tv. 80. § (1)–(2)</w:t>
            </w:r>
          </w:p>
        </w:tc>
        <w:tc>
          <w:tcPr>
            <w:tcW w:type="dxa" w:w="2338"/>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 az Áfa tv. 2027-re változik (kihirdetett módosítás), a szöveg még nem ismert</w:t>
            </w:r>
          </w:p>
        </w:tc>
      </w:tr>
    </w:tbl>
    <w:p>
      <w:pPr>
        <w:pStyle w:val="Heading2"/>
      </w:pPr>
      <w:r>
        <w:rPr>
          <w:rFonts w:ascii="Arial" w:cs="Arial" w:eastAsia="Arial" w:hAnsi="Arial"/>
        </w:rPr>
        <w:t xml:space="preserve">5. Rendszer / lépések</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595959" w:sz="12"/>
              <w:left w:val="single" w:color="595959" w:sz="12"/>
              <w:bottom w:val="single" w:color="595959" w:sz="12"/>
              <w:right w:val="single" w:color="595959" w:sz="12"/>
            </w:tcBorders>
            <w:shd w:fill="F2F2F2" w:color="auto" w:val="clear"/>
            <w:tcMar>
              <w:top w:type="dxa" w:w="120"/>
              <w:left w:type="dxa" w:w="160"/>
              <w:bottom w:type="dxa" w:w="120"/>
              <w:right w:type="dxa" w:w="160"/>
            </w:tcMar>
          </w:tcPr>
          <w:p>
            <w:pPr>
              <w:spacing w:after="80"/>
            </w:pPr>
            <w:r>
              <w:rPr>
                <w:rFonts w:ascii="Arial" w:cs="Arial" w:eastAsia="Arial" w:hAnsi="Arial"/>
                <w:b/>
                <w:bCs/>
                <w:color w:val="595959"/>
              </w:rPr>
              <w:t xml:space="preserve">Logika</w:t>
            </w:r>
          </w:p>
          <w:p>
            <w:pPr>
              <w:spacing w:after="80" w:line="276"/>
            </w:pPr>
            <w:r>
              <w:rPr>
                <w:rFonts w:ascii="Arial" w:cs="Arial" w:eastAsia="Arial" w:hAnsi="Arial"/>
              </w:rPr>
              <w:t xml:space="preserve">Árfolyam kiválasztása a számviteli politikában: hitelintézeti közép / MNB / EKB [60. § (4)]; (5a) áfa-árfolyam; (6) vételi vagy eladási; (10) napon belüli jegyzés</w:t>
            </w:r>
          </w:p>
          <w:p>
            <w:pPr>
              <w:spacing w:after="80" w:line="276"/>
            </w:pPr>
            <w:r>
              <w:rPr>
                <w:rFonts w:ascii="Arial" w:cs="Arial" w:eastAsia="Arial" w:hAnsi="Arial"/>
              </w:rPr>
              <w:t xml:space="preserve">→ Bekerülés: teljesítés/bekerülés napi árfolyam; forintért vett deviza: fizetett forint [60. § (1)]</w:t>
            </w:r>
          </w:p>
          <w:p>
            <w:pPr>
              <w:spacing w:after="80" w:line="276"/>
            </w:pPr>
            <w:r>
              <w:rPr>
                <w:rFonts w:ascii="Arial" w:cs="Arial" w:eastAsia="Arial" w:hAnsi="Arial"/>
              </w:rPr>
              <w:t xml:space="preserve">→ Év közbeni pénzügyi rendezés: realizált különbözet → 84. § (7) f) / 85. § (3) f)</w:t>
            </w:r>
          </w:p>
          <w:p>
            <w:pPr>
              <w:spacing w:after="80" w:line="276"/>
            </w:pPr>
            <w:r>
              <w:rPr>
                <w:rFonts w:ascii="Arial" w:cs="Arial" w:eastAsia="Arial" w:hAnsi="Arial"/>
              </w:rPr>
              <w:t xml:space="preserve">→ Fordulónap: monetáris devizatételek átértékelése [60. § (2)] → különbözetek ÖSSZEVONÁSA → egyenleg: nyereség 84. § (7) g) / veszteség 85. § (3) g) [60. § (3)]</w:t>
            </w:r>
          </w:p>
          <w:p>
            <w:pPr>
              <w:spacing w:after="80" w:line="276"/>
            </w:pPr>
            <w:r>
              <w:rPr>
                <w:rFonts w:ascii="Arial" w:cs="Arial" w:eastAsia="Arial" w:hAnsi="Arial"/>
              </w:rPr>
              <w:t xml:space="preserve">→ Kivételek: beruházási devizahitel üzembe helyezésig → bekerülési érték [47. § (4) c)]; nem realizált veszteség elhatárolása [33. § (2) – 3/c]; valós értékelés, nettó befektetés [60. § (8)]</w:t>
            </w:r>
          </w:p>
        </w:tc>
      </w:tr>
    </w:tbl>
    <w:p>
      <w:pPr>
        <w:pStyle w:val="Heading2"/>
      </w:pPr>
      <w:r>
        <w:rPr>
          <w:rFonts w:ascii="Arial" w:cs="Arial" w:eastAsia="Arial" w:hAnsi="Arial"/>
        </w:rPr>
        <w:t xml:space="preserve">6. Könyvelési tételek</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00"/>
        <w:gridCol w:w="1600"/>
        <w:gridCol w:w="1600"/>
        <w:gridCol w:w="1700"/>
        <w:gridCol w:w="2238"/>
      </w:tblGrid>
      <w:tr>
        <w:trPr>
          <w:tblHeader/>
        </w:trPr>
        <w:tc>
          <w:tcPr>
            <w:tcW w:type="dxa" w:w="2500"/>
            <w:tcBorders>
              <w:top w:val="single" w:color="9AA5B1" w:sz="4"/>
              <w:left w:val="single" w:color="9AA5B1" w:sz="4"/>
              <w:bottom w:val="single" w:color="9AA5B1" w:sz="4"/>
              <w:right w:val="single" w:color="9AA5B1" w:sz="4"/>
            </w:tcBorders>
            <w:shd w:fill="1F3864" w:color="auto" w:val="clear"/>
            <w:tcMar>
              <w:top w:type="dxa" w:w="60"/>
              <w:left w:type="dxa" w:w="100"/>
              <w:bottom w:type="dxa" w:w="60"/>
              <w:right w:type="dxa" w:w="100"/>
            </w:tcMar>
          </w:tcPr>
          <w:p>
            <w:pPr>
              <w:spacing w:after="40"/>
            </w:pPr>
            <w:r>
              <w:rPr>
                <w:rFonts w:ascii="Arial" w:cs="Arial" w:eastAsia="Arial" w:hAnsi="Arial"/>
                <w:b/>
                <w:bCs/>
                <w:color w:val="FFFFFF"/>
              </w:rPr>
              <w:t xml:space="preserve">Gazdasági esemény</w:t>
            </w:r>
          </w:p>
        </w:tc>
        <w:tc>
          <w:tcPr>
            <w:tcW w:type="dxa" w:w="1600"/>
            <w:tcBorders>
              <w:top w:val="single" w:color="9AA5B1" w:sz="4"/>
              <w:left w:val="single" w:color="9AA5B1" w:sz="4"/>
              <w:bottom w:val="single" w:color="9AA5B1" w:sz="4"/>
              <w:right w:val="single" w:color="9AA5B1" w:sz="4"/>
            </w:tcBorders>
            <w:shd w:fill="1F3864" w:color="auto" w:val="clear"/>
            <w:tcMar>
              <w:top w:type="dxa" w:w="60"/>
              <w:left w:type="dxa" w:w="100"/>
              <w:bottom w:type="dxa" w:w="60"/>
              <w:right w:type="dxa" w:w="100"/>
            </w:tcMar>
          </w:tcPr>
          <w:p>
            <w:pPr>
              <w:spacing w:after="40"/>
            </w:pPr>
            <w:r>
              <w:rPr>
                <w:rFonts w:ascii="Arial" w:cs="Arial" w:eastAsia="Arial" w:hAnsi="Arial"/>
                <w:b/>
                <w:bCs/>
                <w:color w:val="FFFFFF"/>
              </w:rPr>
              <w:t xml:space="preserve">T</w:t>
            </w:r>
          </w:p>
        </w:tc>
        <w:tc>
          <w:tcPr>
            <w:tcW w:type="dxa" w:w="1600"/>
            <w:tcBorders>
              <w:top w:val="single" w:color="9AA5B1" w:sz="4"/>
              <w:left w:val="single" w:color="9AA5B1" w:sz="4"/>
              <w:bottom w:val="single" w:color="9AA5B1" w:sz="4"/>
              <w:right w:val="single" w:color="9AA5B1" w:sz="4"/>
            </w:tcBorders>
            <w:shd w:fill="1F3864" w:color="auto" w:val="clear"/>
            <w:tcMar>
              <w:top w:type="dxa" w:w="60"/>
              <w:left w:type="dxa" w:w="100"/>
              <w:bottom w:type="dxa" w:w="60"/>
              <w:right w:type="dxa" w:w="100"/>
            </w:tcMar>
          </w:tcPr>
          <w:p>
            <w:pPr>
              <w:spacing w:after="40"/>
            </w:pPr>
            <w:r>
              <w:rPr>
                <w:rFonts w:ascii="Arial" w:cs="Arial" w:eastAsia="Arial" w:hAnsi="Arial"/>
                <w:b/>
                <w:bCs/>
                <w:color w:val="FFFFFF"/>
              </w:rPr>
              <w:t xml:space="preserve">K</w:t>
            </w:r>
          </w:p>
        </w:tc>
        <w:tc>
          <w:tcPr>
            <w:tcW w:type="dxa" w:w="1700"/>
            <w:tcBorders>
              <w:top w:val="single" w:color="9AA5B1" w:sz="4"/>
              <w:left w:val="single" w:color="9AA5B1" w:sz="4"/>
              <w:bottom w:val="single" w:color="9AA5B1" w:sz="4"/>
              <w:right w:val="single" w:color="9AA5B1" w:sz="4"/>
            </w:tcBorders>
            <w:shd w:fill="1F3864" w:color="auto" w:val="clear"/>
            <w:tcMar>
              <w:top w:type="dxa" w:w="60"/>
              <w:left w:type="dxa" w:w="100"/>
              <w:bottom w:type="dxa" w:w="60"/>
              <w:right w:type="dxa" w:w="100"/>
            </w:tcMar>
          </w:tcPr>
          <w:p>
            <w:pPr>
              <w:spacing w:after="40"/>
            </w:pPr>
            <w:r>
              <w:rPr>
                <w:rFonts w:ascii="Arial" w:cs="Arial" w:eastAsia="Arial" w:hAnsi="Arial"/>
                <w:b/>
                <w:bCs/>
                <w:color w:val="FFFFFF"/>
              </w:rPr>
              <w:t xml:space="preserve">Összeg / mérés</w:t>
            </w:r>
          </w:p>
        </w:tc>
        <w:tc>
          <w:tcPr>
            <w:tcW w:type="dxa" w:w="2238"/>
            <w:tcBorders>
              <w:top w:val="single" w:color="9AA5B1" w:sz="4"/>
              <w:left w:val="single" w:color="9AA5B1" w:sz="4"/>
              <w:bottom w:val="single" w:color="9AA5B1" w:sz="4"/>
              <w:right w:val="single" w:color="9AA5B1" w:sz="4"/>
            </w:tcBorders>
            <w:shd w:fill="1F3864" w:color="auto" w:val="clear"/>
            <w:tcMar>
              <w:top w:type="dxa" w:w="60"/>
              <w:left w:type="dxa" w:w="100"/>
              <w:bottom w:type="dxa" w:w="60"/>
              <w:right w:type="dxa" w:w="100"/>
            </w:tcMar>
          </w:tcPr>
          <w:p>
            <w:pPr>
              <w:spacing w:after="40"/>
            </w:pPr>
            <w:r>
              <w:rPr>
                <w:rFonts w:ascii="Arial" w:cs="Arial" w:eastAsia="Arial" w:hAnsi="Arial"/>
                <w:b/>
                <w:bCs/>
                <w:color w:val="FFFFFF"/>
              </w:rPr>
              <w:t xml:space="preserve">Hatás – miért így?</w:t>
            </w:r>
          </w:p>
        </w:tc>
      </w:tr>
      <w:tr>
        <w:tc>
          <w:tcPr>
            <w:tcW w:type="dxa" w:w="25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Árueladás 10 000 EUR, teljesítéskor 400 Ft/EUR</w:t>
            </w:r>
          </w:p>
        </w:tc>
        <w:tc>
          <w:tcPr>
            <w:tcW w:type="dxa" w:w="16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Vevők 4 000 000</w:t>
            </w:r>
          </w:p>
        </w:tc>
        <w:tc>
          <w:tcPr>
            <w:tcW w:type="dxa" w:w="16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Belföldi/export árbevétel 4 000 000</w:t>
            </w:r>
          </w:p>
        </w:tc>
        <w:tc>
          <w:tcPr>
            <w:tcW w:type="dxa" w:w="17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teljesítés napi árfolyam [75. § (7)]</w:t>
            </w:r>
          </w:p>
        </w:tc>
        <w:tc>
          <w:tcPr>
            <w:tcW w:type="dxa" w:w="2238"/>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Árbevétel.</w:t>
            </w:r>
          </w:p>
        </w:tc>
      </w:tr>
      <w:tr>
        <w:tc>
          <w:tcPr>
            <w:tcW w:type="dxa" w:w="2500"/>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A vevő fizet, 395 Ft/EUR (realizált veszteség)</w:t>
            </w:r>
          </w:p>
        </w:tc>
        <w:tc>
          <w:tcPr>
            <w:tcW w:type="dxa" w:w="1600"/>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Devizaszámla 3 950 000 + Pü. műv. egyéb ráfordítása 50 000</w:t>
            </w:r>
          </w:p>
        </w:tc>
        <w:tc>
          <w:tcPr>
            <w:tcW w:type="dxa" w:w="1600"/>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Vevők 4 000 000</w:t>
            </w:r>
          </w:p>
        </w:tc>
        <w:tc>
          <w:tcPr>
            <w:tcW w:type="dxa" w:w="1700"/>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realizált különbözet</w:t>
            </w:r>
          </w:p>
        </w:tc>
        <w:tc>
          <w:tcPr>
            <w:tcW w:type="dxa" w:w="2238"/>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Pénzügyi ráfordítás [85. § (3) f)] – a követelés kisebb forintértéken folyt be.</w:t>
            </w:r>
          </w:p>
        </w:tc>
      </w:tr>
      <w:tr>
        <w:tc>
          <w:tcPr>
            <w:tcW w:type="dxa" w:w="25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Fordulónap: devizahitel 20 000 EUR, nyilvántartás 390, fordulónap 405 Ft/EUR</w:t>
            </w:r>
          </w:p>
        </w:tc>
        <w:tc>
          <w:tcPr>
            <w:tcW w:type="dxa" w:w="16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(összevonásba) −300 000</w:t>
            </w:r>
          </w:p>
        </w:tc>
        <w:tc>
          <w:tcPr>
            <w:tcW w:type="dxa" w:w="16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p>
        </w:tc>
        <w:tc>
          <w:tcPr>
            <w:tcW w:type="dxa" w:w="17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20 000 × 15</w:t>
            </w:r>
          </w:p>
        </w:tc>
        <w:tc>
          <w:tcPr>
            <w:tcW w:type="dxa" w:w="2238"/>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Kötelezettség nő → veszteség jellegű tétel.</w:t>
            </w:r>
          </w:p>
        </w:tc>
      </w:tr>
      <w:tr>
        <w:tc>
          <w:tcPr>
            <w:tcW w:type="dxa" w:w="2500"/>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Fordulónap: devizaszámla 15 000 EUR, nyilvántartás 395, fordulónap 405</w:t>
            </w:r>
          </w:p>
        </w:tc>
        <w:tc>
          <w:tcPr>
            <w:tcW w:type="dxa" w:w="1600"/>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(összevonásba) +150 000</w:t>
            </w:r>
          </w:p>
        </w:tc>
        <w:tc>
          <w:tcPr>
            <w:tcW w:type="dxa" w:w="1600"/>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p>
        </w:tc>
        <w:tc>
          <w:tcPr>
            <w:tcW w:type="dxa" w:w="1700"/>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15 000 × 10</w:t>
            </w:r>
          </w:p>
        </w:tc>
        <w:tc>
          <w:tcPr>
            <w:tcW w:type="dxa" w:w="2238"/>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Eszköz nő → nyereség jellegű tétel.</w:t>
            </w:r>
          </w:p>
        </w:tc>
      </w:tr>
      <w:tr>
        <w:tc>
          <w:tcPr>
            <w:tcW w:type="dxa" w:w="25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Összevont egyenleg: −150 000</w:t>
            </w:r>
          </w:p>
        </w:tc>
        <w:tc>
          <w:tcPr>
            <w:tcW w:type="dxa" w:w="16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Pü. műv. egyéb ráfordítása (árfolyamveszteség) 150 000</w:t>
            </w:r>
          </w:p>
        </w:tc>
        <w:tc>
          <w:tcPr>
            <w:tcW w:type="dxa" w:w="16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Devizaszámla 150 000 ↑ (T) és Hitel 300 000 ↑ (K) nettósítva</w:t>
            </w:r>
          </w:p>
        </w:tc>
        <w:tc>
          <w:tcPr>
            <w:tcW w:type="dxa" w:w="17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egyenleg [60. § (3) a)]</w:t>
            </w:r>
          </w:p>
        </w:tc>
        <w:tc>
          <w:tcPr>
            <w:tcW w:type="dxa" w:w="2238"/>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Csak az egyenleg kerül az eredménybe – a bruttó elszámolás törvényi kivétele.</w:t>
            </w:r>
          </w:p>
        </w:tc>
      </w:tr>
    </w:tbl>
    <w:p>
      <w:pPr>
        <w:pStyle w:val="Heading2"/>
      </w:pPr>
      <w:r>
        <w:rPr>
          <w:rFonts w:ascii="Arial" w:cs="Arial" w:eastAsia="Arial" w:hAnsi="Arial"/>
        </w:rPr>
        <w:t xml:space="preserve">6/a. Számítás</w:t>
      </w:r>
    </w:p>
    <w:p>
      <w:pPr>
        <w:spacing w:after="100" w:line="276"/>
      </w:pPr>
      <w:r>
        <w:rPr>
          <w:rFonts w:ascii="Arial" w:cs="Arial" w:eastAsia="Arial" w:hAnsi="Arial"/>
          <w:b/>
          <w:bCs/>
        </w:rPr>
        <w:t xml:space="preserve">Részletezve az utolsó sort:</w:t>
      </w:r>
      <w:r>
        <w:rPr>
          <w:rFonts w:ascii="Arial" w:cs="Arial" w:eastAsia="Arial" w:hAnsi="Arial"/>
        </w:rPr>
        <w:t xml:space="preserve"> T Devizaszámla 150 000; T Pénzügyi műveletek egyéb ráfordításai 150 000; K Devizahitel 300 000. A 150 000 Ft </w:t>
      </w:r>
      <w:r>
        <w:rPr>
          <w:rFonts w:ascii="Arial" w:cs="Arial" w:eastAsia="Arial" w:hAnsi="Arial"/>
          <w:b/>
          <w:bCs/>
        </w:rPr>
        <w:t xml:space="preserve">egyenleg</w:t>
      </w:r>
      <w:r>
        <w:rPr>
          <w:rFonts w:ascii="Arial" w:cs="Arial" w:eastAsia="Arial" w:hAnsi="Arial"/>
        </w:rPr>
        <w:t xml:space="preserve"> az árfolyamveszteség [85. § (3) g)]; a bevételi oldalon nincs külön 150 000 Ft-os árfolyamnyereség.</w:t>
      </w:r>
    </w:p>
    <w:p>
      <w:pPr>
        <w:pStyle w:val="Heading2"/>
      </w:pPr>
      <w:r>
        <w:rPr>
          <w:rFonts w:ascii="Arial" w:cs="Arial" w:eastAsia="Arial" w:hAnsi="Arial"/>
        </w:rPr>
        <w:t xml:space="preserve">8. Mi változott 2027-re?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2E7D32" w:sz="12"/>
              <w:left w:val="single" w:color="2E7D32" w:sz="12"/>
              <w:bottom w:val="single" w:color="2E7D32" w:sz="12"/>
              <w:right w:val="single" w:color="2E7D32" w:sz="12"/>
            </w:tcBorders>
            <w:shd w:fill="EAF6EC" w:color="auto" w:val="clear"/>
            <w:tcMar>
              <w:top w:type="dxa" w:w="120"/>
              <w:left w:type="dxa" w:w="160"/>
              <w:bottom w:type="dxa" w:w="120"/>
              <w:right w:type="dxa" w:w="160"/>
            </w:tcMar>
          </w:tcPr>
          <w:p>
            <w:pPr>
              <w:spacing w:after="80"/>
            </w:pPr>
            <w:r>
              <w:rPr>
                <w:rFonts w:ascii="Arial" w:cs="Arial" w:eastAsia="Arial" w:hAnsi="Arial"/>
                <w:b/>
                <w:bCs/>
                <w:color w:val="2E7D32"/>
              </w:rPr>
              <w:t xml:space="preserve">2027-es aktualitás</w:t>
            </w:r>
          </w:p>
          <w:p>
            <w:pPr>
              <w:spacing w:after="80" w:line="276"/>
            </w:pPr>
            <w:r>
              <w:rPr>
                <w:rFonts w:ascii="Arial" w:cs="Arial" w:eastAsia="Arial" w:hAnsi="Arial"/>
                <w:b/>
                <w:bCs/>
              </w:rPr>
              <w:t xml:space="preserve">Nincs azonosított, a tétel vizsgamegoldását érintő változás</w:t>
            </w:r>
            <w:r>
              <w:rPr>
                <w:rFonts w:ascii="Arial" w:cs="Arial" w:eastAsia="Arial" w:hAnsi="Arial"/>
              </w:rPr>
              <w:t xml:space="preserve"> a Szt.-ben. ◆ Az Áfa tv. 2027. 01. 01-jei módosítását (80. § árfolyamszabály) a 60. § (5a) választása miatt 2027 januárjában ellenőrizni kell.</w:t>
            </w:r>
          </w:p>
        </w:tc>
      </w:tr>
    </w:tbl>
    <w:p>
      <w:pPr>
        <w:pStyle w:val="Heading2"/>
      </w:pPr>
      <w:r>
        <w:rPr>
          <w:rFonts w:ascii="Arial" w:cs="Arial" w:eastAsia="Arial" w:hAnsi="Arial"/>
        </w:rPr>
        <w:t xml:space="preserve">9. Ha ezt kérdezi a vizsgáztató</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500"/>
        <w:gridCol w:w="6138"/>
      </w:tblGrid>
      <w:tr>
        <w:trPr>
          <w:tblHeader/>
        </w:trPr>
        <w:tc>
          <w:tcPr>
            <w:tcW w:type="dxa" w:w="3500"/>
            <w:tcBorders>
              <w:top w:val="single" w:color="9AA5B1" w:sz="4"/>
              <w:left w:val="single" w:color="9AA5B1" w:sz="4"/>
              <w:bottom w:val="single" w:color="9AA5B1" w:sz="4"/>
              <w:right w:val="single" w:color="9AA5B1" w:sz="4"/>
            </w:tcBorders>
            <w:shd w:fill="1F3864" w:color="auto" w:val="clear"/>
            <w:tcMar>
              <w:top w:type="dxa" w:w="60"/>
              <w:left w:type="dxa" w:w="100"/>
              <w:bottom w:type="dxa" w:w="60"/>
              <w:right w:type="dxa" w:w="100"/>
            </w:tcMar>
          </w:tcPr>
          <w:p>
            <w:pPr>
              <w:spacing w:after="40"/>
            </w:pPr>
            <w:r>
              <w:rPr>
                <w:rFonts w:ascii="Arial" w:cs="Arial" w:eastAsia="Arial" w:hAnsi="Arial"/>
                <w:b/>
                <w:bCs/>
                <w:color w:val="FFFFFF"/>
              </w:rPr>
              <w:t xml:space="preserve">Kérdés</w:t>
            </w:r>
          </w:p>
        </w:tc>
        <w:tc>
          <w:tcPr>
            <w:tcW w:type="dxa" w:w="6138"/>
            <w:tcBorders>
              <w:top w:val="single" w:color="9AA5B1" w:sz="4"/>
              <w:left w:val="single" w:color="9AA5B1" w:sz="4"/>
              <w:bottom w:val="single" w:color="9AA5B1" w:sz="4"/>
              <w:right w:val="single" w:color="9AA5B1" w:sz="4"/>
            </w:tcBorders>
            <w:shd w:fill="1F3864" w:color="auto" w:val="clear"/>
            <w:tcMar>
              <w:top w:type="dxa" w:w="60"/>
              <w:left w:type="dxa" w:w="100"/>
              <w:bottom w:type="dxa" w:w="60"/>
              <w:right w:type="dxa" w:w="100"/>
            </w:tcMar>
          </w:tcPr>
          <w:p>
            <w:pPr>
              <w:spacing w:after="40"/>
            </w:pPr>
            <w:r>
              <w:rPr>
                <w:rFonts w:ascii="Arial" w:cs="Arial" w:eastAsia="Arial" w:hAnsi="Arial"/>
                <w:b/>
                <w:bCs/>
                <w:color w:val="FFFFFF"/>
              </w:rPr>
              <w:t xml:space="preserve">Rövid, elmondható válasz</w:t>
            </w:r>
          </w:p>
        </w:tc>
      </w:tr>
      <w:tr>
        <w:tc>
          <w:tcPr>
            <w:tcW w:type="dxa" w:w="35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Milyen árfolyamok közül választhat a gazdálkodó?</w:t>
            </w:r>
          </w:p>
        </w:tc>
        <w:tc>
          <w:tcPr>
            <w:tcW w:type="dxa" w:w="6138"/>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Választott hitelintézet vételi-eladási átlaga, MNB vagy EKB hivatalos árfolyama [60. § (4)]; a számviteli politika döntése alapján az áfatörvény szerinti árfolyam is [(5a)]; indokolt esetben egységesen vételi vagy eladási árfolyam [(6)].</w:t>
            </w:r>
          </w:p>
        </w:tc>
      </w:tr>
      <w:tr>
        <w:tc>
          <w:tcPr>
            <w:tcW w:type="dxa" w:w="3500"/>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Hogyan kell a fordulónapi különbözetet elszámolni?</w:t>
            </w:r>
          </w:p>
        </w:tc>
        <w:tc>
          <w:tcPr>
            <w:tcW w:type="dxa" w:w="6138"/>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Összevontan, egyenlegében: veszteség → pénzügyi műveletek egyéb ráfordításai, nyereség → egyéb bevételei [60. § (3)].</w:t>
            </w:r>
          </w:p>
        </w:tc>
      </w:tr>
      <w:tr>
        <w:tc>
          <w:tcPr>
            <w:tcW w:type="dxa" w:w="35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Mely tételeket nem kell átértékelni?</w:t>
            </w:r>
          </w:p>
        </w:tc>
        <w:tc>
          <w:tcPr>
            <w:tcW w:type="dxa" w:w="6138"/>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A nem monetáris tételeket (pl. készlet, tárgyi eszköz, adott előleg eszközre) – a 60. § (2) felsorolása a monetáris jellegű tételeket tartalmazza; a kapott devizaelőleg a 68. § (3) szerint a 60. § szerint átszámítva.</w:t>
            </w:r>
          </w:p>
        </w:tc>
      </w:tr>
      <w:tr>
        <w:tc>
          <w:tcPr>
            <w:tcW w:type="dxa" w:w="3500"/>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Mi a forintért vett deviza bekerülési értéke?</w:t>
            </w:r>
          </w:p>
        </w:tc>
        <w:tc>
          <w:tcPr>
            <w:tcW w:type="dxa" w:w="6138"/>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A ténylegesen fizetett forint; ebből adódik a nyilvántartási árfolyam [60. § (1)].</w:t>
            </w:r>
          </w:p>
        </w:tc>
      </w:tr>
      <w:tr>
        <w:tc>
          <w:tcPr>
            <w:tcW w:type="dxa" w:w="35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Mi történik a beruházási devizahitel árfolyamkülönbözetével?</w:t>
            </w:r>
          </w:p>
        </w:tc>
        <w:tc>
          <w:tcPr>
            <w:tcW w:type="dxa" w:w="6138"/>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Üzembe helyezésig a bekerülési érték része, akár nyereség, akár veszteség, ha nincs devizakészlettel fedezve [47. § (4) c)].</w:t>
            </w:r>
          </w:p>
        </w:tc>
      </w:tr>
      <w:tr>
        <w:tc>
          <w:tcPr>
            <w:tcW w:type="dxa" w:w="3500"/>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Mi a sorrend a devizás részesedés értékvesztésénél?</w:t>
            </w:r>
          </w:p>
        </w:tc>
        <w:tc>
          <w:tcPr>
            <w:tcW w:type="dxa" w:w="6138"/>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Az értékvesztést devizában kell megállapítani és a nyilvántartási árfolyamon elszámolni, csak utána a 60. § szerinti árfolyamváltozást [54. § (7)].</w:t>
            </w:r>
          </w:p>
        </w:tc>
      </w:tr>
      <w:tr>
        <w:tc>
          <w:tcPr>
            <w:tcW w:type="dxa" w:w="35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Mi a keresztárfolyam?</w:t>
            </w:r>
          </w:p>
        </w:tc>
        <w:tc>
          <w:tcPr>
            <w:tcW w:type="dxa" w:w="6138"/>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Két deviza MNB-árfolyamaiból számított arány [3. § (8) 20.].</w:t>
            </w:r>
          </w:p>
        </w:tc>
      </w:tr>
      <w:tr>
        <w:tc>
          <w:tcPr>
            <w:tcW w:type="dxa" w:w="3500"/>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Hol jelenik meg az eredménykimutatásban?</w:t>
            </w:r>
          </w:p>
        </w:tc>
        <w:tc>
          <w:tcPr>
            <w:tcW w:type="dxa" w:w="6138"/>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A pénzügyi műveletek bevételei / ráfordításai között – nem az egyéb bevételek, ráfordítások között.</w:t>
            </w:r>
          </w:p>
        </w:tc>
      </w:tr>
    </w:tbl>
    <w:p>
      <w:pPr>
        <w:pStyle w:val="Heading2"/>
      </w:pPr>
      <w:r>
        <w:rPr>
          <w:rFonts w:ascii="Arial" w:cs="Arial" w:eastAsia="Arial" w:hAnsi="Arial"/>
        </w:rPr>
        <w:t xml:space="preserve">10. Erre figyelj!</w:t>
      </w:r>
    </w:p>
    <w:p>
      <w:pPr>
        <w:pStyle w:val="ListParagraph"/>
        <w:numPr>
          <w:ilvl w:val="0"/>
          <w:numId w:val="2"/>
        </w:numPr>
        <w:spacing w:after="60" w:line="264"/>
      </w:pPr>
      <w:r>
        <w:rPr>
          <w:rFonts w:ascii="Arial" w:cs="Arial" w:eastAsia="Arial" w:hAnsi="Arial"/>
        </w:rPr>
        <w:t xml:space="preserve">! A fordulónapi árfolyamnyereséget és -veszteséget bruttó módon elszámolni – összevontan, egyenlegében kell.</w:t>
      </w:r>
    </w:p>
    <w:p>
      <w:pPr>
        <w:pStyle w:val="ListParagraph"/>
        <w:numPr>
          <w:ilvl w:val="0"/>
          <w:numId w:val="2"/>
        </w:numPr>
        <w:spacing w:after="60" w:line="264"/>
      </w:pPr>
      <w:r>
        <w:rPr>
          <w:rFonts w:ascii="Arial" w:cs="Arial" w:eastAsia="Arial" w:hAnsi="Arial"/>
        </w:rPr>
        <w:t xml:space="preserve">! A devizás készletet vagy tárgyi eszközt átértékelni.</w:t>
      </w:r>
    </w:p>
    <w:p>
      <w:pPr>
        <w:pStyle w:val="ListParagraph"/>
        <w:numPr>
          <w:ilvl w:val="0"/>
          <w:numId w:val="2"/>
        </w:numPr>
        <w:spacing w:after="60" w:line="264"/>
      </w:pPr>
      <w:r>
        <w:rPr>
          <w:rFonts w:ascii="Arial" w:cs="Arial" w:eastAsia="Arial" w:hAnsi="Arial"/>
        </w:rPr>
        <w:t xml:space="preserve">! A realizált árfolyamkülönbözetet egyéb bevételként/ráfordításként könyvelni.</w:t>
      </w:r>
    </w:p>
    <w:p>
      <w:pPr>
        <w:pStyle w:val="ListParagraph"/>
        <w:numPr>
          <w:ilvl w:val="0"/>
          <w:numId w:val="2"/>
        </w:numPr>
        <w:spacing w:after="60" w:line="264"/>
      </w:pPr>
      <w:r>
        <w:rPr>
          <w:rFonts w:ascii="Arial" w:cs="Arial" w:eastAsia="Arial" w:hAnsi="Arial"/>
        </w:rPr>
        <w:t xml:space="preserve">! Év közben árfolyamot váltani – a következetesség elve és a számviteli politika köti.</w:t>
      </w:r>
    </w:p>
    <w:p>
      <w:pPr>
        <w:pStyle w:val="ListParagraph"/>
        <w:numPr>
          <w:ilvl w:val="0"/>
          <w:numId w:val="2"/>
        </w:numPr>
        <w:spacing w:after="60" w:line="264"/>
      </w:pPr>
      <w:r>
        <w:rPr>
          <w:rFonts w:ascii="Arial" w:cs="Arial" w:eastAsia="Arial" w:hAnsi="Arial"/>
        </w:rPr>
        <w:t xml:space="preserve">! A beruházási devizahitel üzembe helyezés előtti különbözetét az eredménybe vezetni.</w:t>
      </w:r>
    </w:p>
    <w:p>
      <w:pPr>
        <w:pStyle w:val="Heading2"/>
      </w:pPr>
      <w:r>
        <w:rPr>
          <w:rFonts w:ascii="Arial" w:cs="Arial" w:eastAsia="Arial" w:hAnsi="Arial"/>
        </w:rPr>
        <w:t xml:space="preserve">11. 1 perces vázlat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595959" w:sz="12"/>
              <w:left w:val="single" w:color="595959" w:sz="12"/>
              <w:bottom w:val="single" w:color="595959" w:sz="12"/>
              <w:right w:val="single" w:color="595959" w:sz="12"/>
            </w:tcBorders>
            <w:shd w:fill="F2F2F2" w:color="auto" w:val="clear"/>
            <w:tcMar>
              <w:top w:type="dxa" w:w="120"/>
              <w:left w:type="dxa" w:w="160"/>
              <w:bottom w:type="dxa" w:w="120"/>
              <w:right w:type="dxa" w:w="160"/>
            </w:tcMar>
          </w:tcPr>
          <w:p>
            <w:pPr>
              <w:spacing w:after="80"/>
            </w:pPr>
            <w:r>
              <w:rPr>
                <w:rFonts w:ascii="Arial" w:cs="Arial" w:eastAsia="Arial" w:hAnsi="Arial"/>
                <w:b/>
                <w:bCs/>
                <w:color w:val="595959"/>
              </w:rPr>
              <w:t xml:space="preserve">1 perces vázlat</w:t>
            </w:r>
          </w:p>
          <w:p>
            <w:pPr>
              <w:spacing w:after="80" w:line="276"/>
            </w:pPr>
            <w:r>
              <w:rPr>
                <w:rFonts w:ascii="Arial" w:cs="Arial" w:eastAsia="Arial" w:hAnsi="Arial"/>
                <w:b/>
                <w:bCs/>
              </w:rPr>
              <w:t xml:space="preserve">Árfolyam:</w:t>
            </w:r>
            <w:r>
              <w:rPr>
                <w:rFonts w:ascii="Arial" w:cs="Arial" w:eastAsia="Arial" w:hAnsi="Arial"/>
              </w:rPr>
              <w:t xml:space="preserve"> bank-közép / MNB / EKB [60. § (4)]; áfa-árfolyam (5a); vételi v. eladási (6); napon belüli (10) → </w:t>
            </w:r>
            <w:r>
              <w:rPr>
                <w:rFonts w:ascii="Arial" w:cs="Arial" w:eastAsia="Arial" w:hAnsi="Arial"/>
                <w:b/>
                <w:bCs/>
              </w:rPr>
              <w:t xml:space="preserve">Bekerülés:</w:t>
            </w:r>
            <w:r>
              <w:rPr>
                <w:rFonts w:ascii="Arial" w:cs="Arial" w:eastAsia="Arial" w:hAnsi="Arial"/>
              </w:rPr>
              <w:t xml:space="preserve"> teljesítési nap; forintért vett deviza = fizetett Ft (1) → </w:t>
            </w:r>
            <w:r>
              <w:rPr>
                <w:rFonts w:ascii="Arial" w:cs="Arial" w:eastAsia="Arial" w:hAnsi="Arial"/>
                <w:b/>
                <w:bCs/>
              </w:rPr>
              <w:t xml:space="preserve">Realizált:</w:t>
            </w:r>
            <w:r>
              <w:rPr>
                <w:rFonts w:ascii="Arial" w:cs="Arial" w:eastAsia="Arial" w:hAnsi="Arial"/>
              </w:rPr>
              <w:t xml:space="preserve"> 84. § (7) f) / 85. § (3) f) → </w:t>
            </w:r>
            <w:r>
              <w:rPr>
                <w:rFonts w:ascii="Arial" w:cs="Arial" w:eastAsia="Arial" w:hAnsi="Arial"/>
                <w:b/>
                <w:bCs/>
              </w:rPr>
              <w:t xml:space="preserve">Fordulónap:</w:t>
            </w:r>
            <w:r>
              <w:rPr>
                <w:rFonts w:ascii="Arial" w:cs="Arial" w:eastAsia="Arial" w:hAnsi="Arial"/>
              </w:rPr>
              <w:t xml:space="preserve"> monetáris tételek (2) → összevont egyenleg → pü. műv. egyéb bevétele / ráfordítása (3); 84. § (7) g) / 85. § (3) g) → </w:t>
            </w:r>
            <w:r>
              <w:rPr>
                <w:rFonts w:ascii="Arial" w:cs="Arial" w:eastAsia="Arial" w:hAnsi="Arial"/>
                <w:b/>
                <w:bCs/>
              </w:rPr>
              <w:t xml:space="preserve">Kivétel:</w:t>
            </w:r>
            <w:r>
              <w:rPr>
                <w:rFonts w:ascii="Arial" w:cs="Arial" w:eastAsia="Arial" w:hAnsi="Arial"/>
              </w:rPr>
              <w:t xml:space="preserve"> beruházási devizahitel → bekerülési érték [47. § (4) c)]; részesedés-értékvesztés devizában [54. § (7)]; nem realizált veszteség elhatárolása [33. § (2) – 3/c]; valós értékelés [60. § (8)].</w:t>
            </w:r>
          </w:p>
        </w:tc>
      </w:tr>
    </w:tbl>
    <w:p>
      <w:pPr>
        <w:pStyle w:val="Heading2"/>
      </w:pPr>
      <w:r>
        <w:rPr>
          <w:rFonts w:ascii="Arial" w:cs="Arial" w:eastAsia="Arial" w:hAnsi="Arial"/>
        </w:rPr>
        <w:t xml:space="preserve">Kapcsolódó tételek</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500"/>
        <w:gridCol w:w="8138"/>
      </w:tblGrid>
      <w:tr>
        <w:trPr>
          <w:tblHeader/>
        </w:trPr>
        <w:tc>
          <w:tcPr>
            <w:tcW w:type="dxa" w:w="1500"/>
            <w:tcBorders>
              <w:top w:val="single" w:color="9AA5B1" w:sz="4"/>
              <w:left w:val="single" w:color="9AA5B1" w:sz="4"/>
              <w:bottom w:val="single" w:color="9AA5B1" w:sz="4"/>
              <w:right w:val="single" w:color="9AA5B1" w:sz="4"/>
            </w:tcBorders>
            <w:shd w:fill="1F3864" w:color="auto" w:val="clear"/>
            <w:tcMar>
              <w:top w:type="dxa" w:w="60"/>
              <w:left w:type="dxa" w:w="100"/>
              <w:bottom w:type="dxa" w:w="60"/>
              <w:right w:type="dxa" w:w="100"/>
            </w:tcMar>
          </w:tcPr>
          <w:p>
            <w:pPr>
              <w:spacing w:after="40"/>
            </w:pPr>
            <w:r>
              <w:rPr>
                <w:rFonts w:ascii="Arial" w:cs="Arial" w:eastAsia="Arial" w:hAnsi="Arial"/>
                <w:b/>
                <w:bCs/>
                <w:color w:val="FFFFFF"/>
              </w:rPr>
              <w:t xml:space="preserve">Tétel</w:t>
            </w:r>
          </w:p>
        </w:tc>
        <w:tc>
          <w:tcPr>
            <w:tcW w:type="dxa" w:w="8138"/>
            <w:tcBorders>
              <w:top w:val="single" w:color="9AA5B1" w:sz="4"/>
              <w:left w:val="single" w:color="9AA5B1" w:sz="4"/>
              <w:bottom w:val="single" w:color="9AA5B1" w:sz="4"/>
              <w:right w:val="single" w:color="9AA5B1" w:sz="4"/>
            </w:tcBorders>
            <w:shd w:fill="1F3864" w:color="auto" w:val="clear"/>
            <w:tcMar>
              <w:top w:type="dxa" w:w="60"/>
              <w:left w:type="dxa" w:w="100"/>
              <w:bottom w:type="dxa" w:w="60"/>
              <w:right w:type="dxa" w:w="100"/>
            </w:tcMar>
          </w:tcPr>
          <w:p>
            <w:pPr>
              <w:spacing w:after="40"/>
            </w:pPr>
            <w:r>
              <w:rPr>
                <w:rFonts w:ascii="Arial" w:cs="Arial" w:eastAsia="Arial" w:hAnsi="Arial"/>
                <w:b/>
                <w:bCs/>
                <w:color w:val="FFFFFF"/>
              </w:rPr>
              <w:t xml:space="preserve">Miért kapcsolódik?</w:t>
            </w:r>
          </w:p>
        </w:tc>
      </w:tr>
      <w:tr>
        <w:tc>
          <w:tcPr>
            <w:tcW w:type="dxa" w:w="15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1/c</w:t>
            </w:r>
          </w:p>
        </w:tc>
        <w:tc>
          <w:tcPr>
            <w:tcW w:type="dxa" w:w="8138"/>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Pénznem változtatás: a devizában könyvvezetőnél is a 60. § alkalmazandó [60. § (11)].</w:t>
            </w:r>
          </w:p>
        </w:tc>
      </w:tr>
      <w:tr>
        <w:tc>
          <w:tcPr>
            <w:tcW w:type="dxa" w:w="1500"/>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3/c</w:t>
            </w:r>
          </w:p>
        </w:tc>
        <w:tc>
          <w:tcPr>
            <w:tcW w:type="dxa" w:w="8138"/>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Nem realizált árfolyamveszteség elhatárolása [33. § (2)].</w:t>
            </w:r>
          </w:p>
        </w:tc>
      </w:tr>
      <w:tr>
        <w:tc>
          <w:tcPr>
            <w:tcW w:type="dxa" w:w="15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5/a</w:t>
            </w:r>
          </w:p>
        </w:tc>
        <w:tc>
          <w:tcPr>
            <w:tcW w:type="dxa" w:w="8138"/>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A devizás értékeléshez választható árfolyamok.</w:t>
            </w:r>
          </w:p>
        </w:tc>
      </w:tr>
      <w:tr>
        <w:tc>
          <w:tcPr>
            <w:tcW w:type="dxa" w:w="1500"/>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32/b, 33/b</w:t>
            </w:r>
          </w:p>
        </w:tc>
        <w:tc>
          <w:tcPr>
            <w:tcW w:type="dxa" w:w="8138"/>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Pénzügyi műveletek bevételei és ráfordításai.</w:t>
            </w:r>
          </w:p>
        </w:tc>
      </w:tr>
    </w:tbl>
    <w:p>
      <w:pPr>
        <w:pStyle w:val="Heading1"/>
        <w:pageBreakBefore/>
      </w:pPr>
      <w:r>
        <w:rPr>
          <w:rFonts w:ascii="Arial" w:cs="Arial" w:eastAsia="Arial" w:hAnsi="Arial"/>
        </w:rPr>
        <w:t xml:space="preserve">Minőségbiztosítás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200"/>
        <w:gridCol w:w="5438"/>
      </w:tblGrid>
      <w:tr>
        <w:trPr>
          <w:tblHeader/>
        </w:trPr>
        <w:tc>
          <w:tcPr>
            <w:tcW w:type="dxa" w:w="4200"/>
            <w:tcBorders>
              <w:top w:val="single" w:color="9AA5B1" w:sz="4"/>
              <w:left w:val="single" w:color="9AA5B1" w:sz="4"/>
              <w:bottom w:val="single" w:color="9AA5B1" w:sz="4"/>
              <w:right w:val="single" w:color="9AA5B1" w:sz="4"/>
            </w:tcBorders>
            <w:shd w:fill="1F3864" w:color="auto" w:val="clear"/>
            <w:tcMar>
              <w:top w:type="dxa" w:w="60"/>
              <w:left w:type="dxa" w:w="100"/>
              <w:bottom w:type="dxa" w:w="60"/>
              <w:right w:type="dxa" w:w="100"/>
            </w:tcMar>
          </w:tcPr>
          <w:p>
            <w:pPr>
              <w:spacing w:after="40"/>
            </w:pPr>
            <w:r>
              <w:rPr>
                <w:rFonts w:ascii="Arial" w:cs="Arial" w:eastAsia="Arial" w:hAnsi="Arial"/>
                <w:b/>
                <w:bCs/>
                <w:color w:val="FFFFFF"/>
              </w:rPr>
              <w:t xml:space="preserve">Ellenőrzési pont</w:t>
            </w:r>
          </w:p>
        </w:tc>
        <w:tc>
          <w:tcPr>
            <w:tcW w:type="dxa" w:w="5438"/>
            <w:tcBorders>
              <w:top w:val="single" w:color="9AA5B1" w:sz="4"/>
              <w:left w:val="single" w:color="9AA5B1" w:sz="4"/>
              <w:bottom w:val="single" w:color="9AA5B1" w:sz="4"/>
              <w:right w:val="single" w:color="9AA5B1" w:sz="4"/>
            </w:tcBorders>
            <w:shd w:fill="1F3864" w:color="auto" w:val="clear"/>
            <w:tcMar>
              <w:top w:type="dxa" w:w="60"/>
              <w:left w:type="dxa" w:w="100"/>
              <w:bottom w:type="dxa" w:w="60"/>
              <w:right w:type="dxa" w:w="100"/>
            </w:tcMar>
          </w:tcPr>
          <w:p>
            <w:pPr>
              <w:spacing w:after="40"/>
            </w:pPr>
            <w:r>
              <w:rPr>
                <w:rFonts w:ascii="Arial" w:cs="Arial" w:eastAsia="Arial" w:hAnsi="Arial"/>
                <w:b/>
                <w:bCs/>
                <w:color w:val="FFFFFF"/>
              </w:rPr>
              <w:t xml:space="preserve">Állapot</w:t>
            </w:r>
          </w:p>
        </w:tc>
      </w:tr>
      <w:tr>
        <w:tc>
          <w:tcPr>
            <w:tcW w:type="dxa" w:w="42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Eredeti tétel pontosan szerepel</w:t>
            </w:r>
          </w:p>
        </w:tc>
        <w:tc>
          <w:tcPr>
            <w:tcW w:type="dxa" w:w="5438"/>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w:t>
            </w:r>
          </w:p>
        </w:tc>
      </w:tr>
      <w:tr>
        <w:tc>
          <w:tcPr>
            <w:tcW w:type="dxa" w:w="4200"/>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Minden alpont feldolgozva (a: 3 fogalom, b, c)</w:t>
            </w:r>
          </w:p>
        </w:tc>
        <w:tc>
          <w:tcPr>
            <w:tcW w:type="dxa" w:w="5438"/>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w:t>
            </w:r>
          </w:p>
        </w:tc>
      </w:tr>
      <w:tr>
        <w:tc>
          <w:tcPr>
            <w:tcW w:type="dxa" w:w="42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Jogszabály ellenőrizve (njt, hatályos szöveg)</w:t>
            </w:r>
          </w:p>
        </w:tc>
        <w:tc>
          <w:tcPr>
            <w:tcW w:type="dxa" w:w="5438"/>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 – a hivatkozott §-ok az njt hatályos szövegén</w:t>
            </w:r>
          </w:p>
        </w:tc>
      </w:tr>
      <w:tr>
        <w:tc>
          <w:tcPr>
            <w:tcW w:type="dxa" w:w="4200"/>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2027-es állapot ellenőrizve</w:t>
            </w:r>
          </w:p>
        </w:tc>
        <w:tc>
          <w:tcPr>
            <w:tcW w:type="dxa" w:w="5438"/>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 a 2026. 09. 27-i állapotig (nincs közzétett 2027-es Szt.-időállapot); 2027. januárban újraellenőrizendő</w:t>
            </w:r>
          </w:p>
        </w:tc>
      </w:tr>
      <w:tr>
        <w:tc>
          <w:tcPr>
            <w:tcW w:type="dxa" w:w="42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Régi szabályok kiszűrve</w:t>
            </w:r>
          </w:p>
        </w:tc>
        <w:tc>
          <w:tcPr>
            <w:tcW w:type="dxa" w:w="5438"/>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w:t>
            </w:r>
          </w:p>
        </w:tc>
      </w:tr>
      <w:tr>
        <w:tc>
          <w:tcPr>
            <w:tcW w:type="dxa" w:w="4200"/>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Könyvelések, számítások ellenőrizve</w:t>
            </w:r>
          </w:p>
        </w:tc>
        <w:tc>
          <w:tcPr>
            <w:tcW w:type="dxa" w:w="5438"/>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w:t>
            </w:r>
          </w:p>
        </w:tc>
      </w:tr>
      <w:tr>
        <w:tc>
          <w:tcPr>
            <w:tcW w:type="dxa" w:w="4200"/>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Visszakérdezések, rövid felelet, 1 perces vázlat</w:t>
            </w:r>
          </w:p>
        </w:tc>
        <w:tc>
          <w:tcPr>
            <w:tcW w:type="dxa" w:w="5438"/>
            <w:tcBorders>
              <w:top w:val="single" w:color="9AA5B1" w:sz="4"/>
              <w:left w:val="single" w:color="9AA5B1" w:sz="4"/>
              <w:bottom w:val="single" w:color="9AA5B1" w:sz="4"/>
              <w:right w:val="single" w:color="9AA5B1" w:sz="4"/>
            </w:tcBorders>
            <w:tcMar>
              <w:top w:type="dxa" w:w="60"/>
              <w:left w:type="dxa" w:w="100"/>
              <w:bottom w:type="dxa" w:w="60"/>
              <w:right w:type="dxa" w:w="100"/>
            </w:tcMar>
          </w:tcPr>
          <w:p>
            <w:pPr>
              <w:spacing w:after="40"/>
            </w:pPr>
            <w:r>
              <w:rPr>
                <w:rFonts w:ascii="Arial" w:cs="Arial" w:eastAsia="Arial" w:hAnsi="Arial"/>
              </w:rPr>
              <w:t xml:space="preserve">✔</w:t>
            </w:r>
          </w:p>
        </w:tc>
      </w:tr>
      <w:tr>
        <w:tc>
          <w:tcPr>
            <w:tcW w:type="dxa" w:w="4200"/>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Nyitott ◆ pontok</w:t>
            </w:r>
          </w:p>
        </w:tc>
        <w:tc>
          <w:tcPr>
            <w:tcW w:type="dxa" w:w="5438"/>
            <w:tcBorders>
              <w:top w:val="single" w:color="9AA5B1" w:sz="4"/>
              <w:left w:val="single" w:color="9AA5B1" w:sz="4"/>
              <w:bottom w:val="single" w:color="9AA5B1" w:sz="4"/>
              <w:right w:val="single" w:color="9AA5B1" w:sz="4"/>
            </w:tcBorders>
            <w:shd w:fill="F3F6FA" w:color="auto" w:val="clear"/>
            <w:tcMar>
              <w:top w:type="dxa" w:w="60"/>
              <w:left w:type="dxa" w:w="100"/>
              <w:bottom w:type="dxa" w:w="60"/>
              <w:right w:type="dxa" w:w="100"/>
            </w:tcMar>
          </w:tcPr>
          <w:p>
            <w:pPr>
              <w:spacing w:after="40"/>
            </w:pPr>
            <w:r>
              <w:rPr>
                <w:rFonts w:ascii="Arial" w:cs="Arial" w:eastAsia="Arial" w:hAnsi="Arial"/>
              </w:rPr>
              <w:t xml:space="preserve">114/A. § ↔ IFRS 18: a Szt. módosítását 2027 januárjában ellenőrizni.</w:t>
            </w:r>
          </w:p>
          <w:p>
            <w:pPr>
              <w:spacing w:after="40"/>
            </w:pPr>
            <w:r>
              <w:rPr>
                <w:rFonts w:ascii="Arial" w:cs="Arial" w:eastAsia="Arial" w:hAnsi="Arial"/>
              </w:rPr>
              <w:t xml:space="preserve">130. § (tőkeegyenlítés) szövegét a 13/c tételnél olvasom be; itt csak hivatkozás.</w:t>
            </w:r>
          </w:p>
          <w:p>
            <w:pPr>
              <w:spacing w:after="40"/>
            </w:pPr>
            <w:r>
              <w:rPr>
                <w:rFonts w:ascii="Arial" w:cs="Arial" w:eastAsia="Arial" w:hAnsi="Arial"/>
              </w:rPr>
              <w:t xml:space="preserve">Áfa tv. 80. §: 2027-es módosítás tartalma még nem ismert.</w:t>
            </w:r>
          </w:p>
          <w:p>
            <w:pPr>
              <w:spacing w:after="40"/>
            </w:pPr>
            <w:r>
              <w:rPr>
                <w:rFonts w:ascii="Arial" w:cs="Arial" w:eastAsia="Arial" w:hAnsi="Arial"/>
              </w:rPr>
              <w:t xml:space="preserve">A 398/2012. Korm. r. szövegét ebben a tételben nem ellenőriztem.</w:t>
            </w:r>
          </w:p>
        </w:tc>
      </w:tr>
    </w:tbl>
    <w:p>
      <w:pPr>
        <w:pStyle w:val="Heading2"/>
      </w:pPr>
      <w:r>
        <w:rPr>
          <w:rFonts w:ascii="Arial" w:cs="Arial" w:eastAsia="Arial" w:hAnsi="Arial"/>
        </w:rPr>
        <w:t xml:space="preserve">Hivatkozott jogszabályhelyek (a 2027. januári felülvizsgálathoz)</w:t>
      </w:r>
    </w:p>
    <w:p>
      <w:pPr>
        <w:spacing w:after="100" w:line="276"/>
      </w:pPr>
      <w:r>
        <w:rPr>
          <w:rFonts w:ascii="Arial" w:cs="Arial" w:eastAsia="Arial" w:hAnsi="Arial"/>
          <w:b/>
          <w:bCs/>
        </w:rPr>
        <w:t xml:space="preserve">Szt.:</w:t>
      </w:r>
      <w:r>
        <w:rPr>
          <w:rFonts w:ascii="Arial" w:cs="Arial" w:eastAsia="Arial" w:hAnsi="Arial"/>
        </w:rPr>
        <w:t xml:space="preserve"> 3. § (2) 3., 4., 4a., 7., 9.; 3. § (8) 3., 20.; 3. § (9) 1.; 4. § (1)–(2); 8. §; 9. § (1)–(10); 9/A. §; 10. §; 11. § (1)–(8); 15. § (3); 17–19. §; 20. § (1)–(2), (6); 22. § (1); 47. § (4) c); 54. § (2) c), (7); 55. § (3)–(4); 60. § (1)–(11); 68. § (3)–(6); 71. § (1)–(2); 75. § (7); 84. § (7) f)–g); 85. § (3) f)–g); 88. §; 95. §; 114/A. §; 115–120. §; 128–129. §; 153–155. §.</w:t>
      </w:r>
    </w:p>
    <w:p>
      <w:pPr>
        <w:spacing w:after="100" w:line="276"/>
      </w:pPr>
      <w:r>
        <w:rPr>
          <w:rFonts w:ascii="Arial" w:cs="Arial" w:eastAsia="Arial" w:hAnsi="Arial"/>
          <w:b/>
          <w:bCs/>
        </w:rPr>
        <w:t xml:space="preserve">Tao tv.:</w:t>
      </w:r>
      <w:r>
        <w:rPr>
          <w:rFonts w:ascii="Arial" w:cs="Arial" w:eastAsia="Arial" w:hAnsi="Arial"/>
        </w:rPr>
        <w:t xml:space="preserve"> 6. § (2). </w:t>
      </w:r>
      <w:r>
        <w:rPr>
          <w:rFonts w:ascii="Arial" w:cs="Arial" w:eastAsia="Arial" w:hAnsi="Arial"/>
          <w:b/>
          <w:bCs/>
        </w:rPr>
        <w:t xml:space="preserve">Áfa tv.:</w:t>
      </w:r>
      <w:r>
        <w:rPr>
          <w:rFonts w:ascii="Arial" w:cs="Arial" w:eastAsia="Arial" w:hAnsi="Arial"/>
        </w:rPr>
        <w:t xml:space="preserve"> 80. § (◆).</w:t>
      </w:r>
    </w:p>
    <w:p>
      <w:pPr>
        <w:pStyle w:val="Heading2"/>
      </w:pPr>
      <w:r>
        <w:rPr>
          <w:rFonts w:ascii="Arial" w:cs="Arial" w:eastAsia="Arial" w:hAnsi="Arial"/>
        </w:rPr>
        <w:t xml:space="preserve">Források</w:t>
      </w:r>
    </w:p>
    <w:p>
      <w:pPr>
        <w:pStyle w:val="ListParagraph"/>
        <w:numPr>
          <w:ilvl w:val="0"/>
          <w:numId w:val="2"/>
        </w:numPr>
        <w:spacing w:after="60" w:line="264"/>
      </w:pPr>
      <w:r>
        <w:rPr>
          <w:rFonts w:ascii="Arial" w:cs="Arial" w:eastAsia="Arial" w:hAnsi="Arial"/>
        </w:rPr>
        <w:t xml:space="preserve">njt.hu – Szt. hatályos szövege (2026. 02. 28. –) és a .80, .84, .85 időállapotok (értékhatárok), 2026. 09. 27.</w:t>
      </w:r>
    </w:p>
    <w:p>
      <w:pPr>
        <w:pStyle w:val="ListParagraph"/>
        <w:numPr>
          <w:ilvl w:val="0"/>
          <w:numId w:val="2"/>
        </w:numPr>
        <w:spacing w:after="60" w:line="264"/>
      </w:pPr>
      <w:r>
        <w:rPr>
          <w:rFonts w:ascii="Arial" w:cs="Arial" w:eastAsia="Arial" w:hAnsi="Arial"/>
        </w:rPr>
        <w:t xml:space="preserve">Projektfájlok: claude/Feldolgozasi_naplo.md.</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808080"/>
        <w:sz w:val="16"/>
        <w:szCs w:val="16"/>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Arial" w:cs="Arial" w:eastAsia="Arial" w:hAnsi="Arial"/>
        <w:color w:val="808080"/>
        <w:sz w:val="16"/>
        <w:szCs w:val="16"/>
      </w:rPr>
      <w:t xml:space="preserve">Magyar számvitel szóbeli – 2. tétel (2027)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lvl w:ilvl="1" w15:tentative="1">
      <w:start w:val="1"/>
      <w:numFmt w:val="bullet"/>
      <w:lvlText w:val="–"/>
      <w:lvlJc w:val="left"/>
      <w:pPr>
        <w:ind w:left="1000" w:hanging="270"/>
      </w:pPr>
    </w:lvl>
  </w:abstractNum>
  <w:abstractNum w:abstractNumId="3" w15:restartNumberingAfterBreak="0">
    <w:multiLevelType w:val="hybridMultilevel"/>
    <w:lvl w:ilvl="0" w15:tentative="1">
      <w:start w:val="1"/>
      <w:numFmt w:val="decimal"/>
      <w:lvlText w:val="%1."/>
      <w:lvlJc w:val="left"/>
      <w:pPr>
        <w:ind w:left="540" w:hanging="320"/>
      </w:pPr>
    </w:lvl>
  </w:abstractNum>
  <w:abstractNum w:abstractNumId="4" w15:restartNumberingAfterBreak="0">
    <w:multiLevelType w:val="hybridMultilevel"/>
    <w:lvl w:ilvl="0" w15:tentative="1">
      <w:start w:val="1"/>
      <w:numFmt w:val="decimal"/>
      <w:lvlText w:val="%1."/>
      <w:lvlJc w:val="left"/>
      <w:pPr>
        <w:ind w:left="540" w:hanging="320"/>
      </w:pPr>
    </w:lvl>
  </w:abstractNum>
  <w:abstractNum w:abstractNumId="5" w15:restartNumberingAfterBreak="0">
    <w:multiLevelType w:val="hybridMultilevel"/>
    <w:lvl w:ilvl="0" w15:tentative="1">
      <w:start w:val="1"/>
      <w:numFmt w:val="decimal"/>
      <w:lvlText w:val="%1."/>
      <w:lvlJc w:val="left"/>
      <w:pPr>
        <w:ind w:left="540" w:hanging="32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240"/>
      <w:outlineLvl w:val="0"/>
    </w:pPr>
    <w:rPr>
      <w:rFonts w:ascii="Arial" w:cs="Arial" w:eastAsia="Arial" w:hAnsi="Arial"/>
      <w:b/>
      <w:bCs/>
      <w:color w:val="1F3864"/>
      <w:sz w:val="30"/>
      <w:szCs w:val="30"/>
    </w:rPr>
  </w:style>
  <w:style w:type="paragraph" w:styleId="Heading2">
    <w:name w:val="Heading 2"/>
    <w:basedOn w:val="Normal"/>
    <w:next w:val="Normal"/>
    <w:qFormat/>
    <w:pPr>
      <w:spacing w:after="120" w:before="220"/>
      <w:outlineLvl w:val="1"/>
    </w:pPr>
    <w:rPr>
      <w:rFonts w:ascii="Arial" w:cs="Arial" w:eastAsia="Arial" w:hAnsi="Arial"/>
      <w:b/>
      <w:bCs/>
      <w:color w:val="2E5597"/>
      <w:sz w:val="25"/>
      <w:szCs w:val="25"/>
    </w:rPr>
  </w:style>
  <w:style w:type="paragraph" w:styleId="Heading3">
    <w:name w:val="Heading 3"/>
    <w:basedOn w:val="Normal"/>
    <w:next w:val="Normal"/>
    <w:qFormat/>
    <w:pPr>
      <w:spacing w:after="80" w:before="160"/>
      <w:outlineLvl w:val="2"/>
    </w:pPr>
    <w:rPr>
      <w:rFonts w:ascii="Arial" w:cs="Arial" w:eastAsia="Arial" w:hAnsi="Arial"/>
      <w:b/>
      <w:bCs/>
      <w:color w:val="404040"/>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Magyar számvitel szóbeli – 2. tétel (2027)</dc:title>
  <dc:creator>Claude</dc:creator>
  <cp:lastModifiedBy>Un-named</cp:lastModifiedBy>
  <cp:revision>1</cp:revision>
  <dcterms:created xsi:type="dcterms:W3CDTF">2026-09-28T10:25:35.581Z</dcterms:created>
  <dcterms:modified xsi:type="dcterms:W3CDTF">2026-09-28T10:25:35.590Z</dcterms:modified>
</cp:coreProperties>
</file>

<file path=docProps/custom.xml><?xml version="1.0" encoding="utf-8"?>
<Properties xmlns="http://schemas.openxmlformats.org/officeDocument/2006/custom-properties" xmlns:vt="http://schemas.openxmlformats.org/officeDocument/2006/docPropsVTypes"/>
</file>