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800"/>
        <w:jc w:val="center"/>
      </w:pPr>
      <w:r>
        <w:rPr>
          <w:rFonts w:ascii="Arial" w:cs="Arial" w:eastAsia="Arial" w:hAnsi="Arial"/>
          <w:b/>
          <w:bCs/>
          <w:color w:val="1F3864"/>
          <w:sz w:val="28"/>
          <w:szCs w:val="28"/>
        </w:rPr>
        <w:t xml:space="preserve">MKVK – A számvitel nemzetközi szabályozása</w:t>
      </w: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Szóbeli vizsga – 7. tétel kidolgozása</w:t>
      </w:r>
    </w:p>
    <w:p>
      <w:pPr>
        <w:spacing w:after="600"/>
        <w:jc w:val="center"/>
      </w:pPr>
      <w:r>
        <w:rPr>
          <w:rFonts w:ascii="Arial" w:cs="Arial" w:eastAsia="Arial" w:hAnsi="Arial"/>
          <w:color w:val="404040"/>
          <w:sz w:val="22"/>
          <w:szCs w:val="22"/>
        </w:rPr>
        <w:t xml:space="preserve">Céltartalékok, függő tételek (IAS 37) és nyereségadók (IAS 12) + magyar párhuzam · munkavállalói juttatások (IAS 19) · értékvesztés, eszköz, rövid futamidejű lízing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Tételsor forrása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MKVK szóbeli tételsor, hatályos: 2025. 10. 17.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Referenciaév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2027 – EU által befogadott, 2027-ben kötelező IFRS-ek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Standardállapot dátuma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2026. 09. 28. – az IAS 12, IAS 16, IAS 19, IAS 36, IAS 37, IAS 38, IFRS 16 és IFRIC 23 hivatkozott bekezdései a </w:t>
            </w:r>
            <w:r>
              <w:rPr>
                <w:rFonts w:ascii="Arial" w:cs="Arial" w:eastAsia="Arial" w:hAnsi="Arial"/>
                <w:b/>
                <w:bCs/>
              </w:rPr>
              <w:t xml:space="preserve">Bizottság (EU) 2023/1803 rendeletének</w:t>
            </w:r>
            <w:r>
              <w:rPr>
                <w:rFonts w:ascii="Arial" w:cs="Arial" w:eastAsia="Arial" w:hAnsi="Arial"/>
              </w:rPr>
              <w:t xml:space="preserve"> hivatalos magyar szövegén; az IFRS 18 és következményes módosításai (IAS 12.62A, 77, 78, 81; IAS 19.25, 134, 158, 171; IAS 37.104 lábjegyzet) a </w:t>
            </w:r>
            <w:r>
              <w:rPr>
                <w:rFonts w:ascii="Arial" w:cs="Arial" w:eastAsia="Arial" w:hAnsi="Arial"/>
                <w:b/>
                <w:bCs/>
              </w:rPr>
              <w:t xml:space="preserve">(EU) 2026/338 rendelet</w:t>
            </w:r>
            <w:r>
              <w:rPr>
                <w:rFonts w:ascii="Arial" w:cs="Arial" w:eastAsia="Arial" w:hAnsi="Arial"/>
              </w:rPr>
              <w:t xml:space="preserve"> hivatalos magyar szövegén; az IAS 12.4A (Pillar Two) az ifrs.org 2024-es kiadásán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Magyar összevetés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B-rész kétszer kéri (céltartalék és függő tételek; nyereségadó) – Szt. 2026. 02. 28-i időállapot, a teljes hatályos szövegen ellenőrizve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Jelölések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◆ = forrásszövegen még ellenőrizendő · ⟳ = 2027-től változott · ! = vizsgacsapda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Definíciók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„Hivatalos HU szöveg” sorok az uniós rendelet szövegét idézik.</w:t>
            </w:r>
          </w:p>
        </w:tc>
      </w:tr>
    </w:tbl>
    <w:p>
      <w:pPr>
        <w:pStyle w:val="Heading1"/>
        <w:pageBreakBefore/>
      </w:pPr>
      <w:r>
        <w:rPr>
          <w:rFonts w:ascii="Arial" w:cs="Arial" w:eastAsia="Arial" w:hAnsi="Arial"/>
        </w:rPr>
        <w:t xml:space="preserve">0. Áttekintés – mit húztam, mit mondok</w:t>
      </w:r>
    </w:p>
    <w:tbl>
      <w:tblPr>
        <w:tblW w:type="dxa" w:w="9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000"/>
        <w:gridCol w:w="3100"/>
        <w:gridCol w:w="2238"/>
        <w:gridCol w:w="800"/>
      </w:tblGrid>
      <w:tr>
        <w:trPr>
          <w:tblHeader/>
        </w:trPr>
        <w:tc>
          <w:tcPr>
            <w:tcW w:type="dxa" w:w="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Rész</w:t>
            </w:r>
          </w:p>
        </w:tc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Téma</w:t>
            </w:r>
          </w:p>
        </w:tc>
        <w:tc>
          <w:tcPr>
            <w:tcW w:type="dxa" w:w="31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Fő forrás</w:t>
            </w:r>
          </w:p>
        </w:tc>
        <w:tc>
          <w:tcPr>
            <w:tcW w:type="dxa" w:w="2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2027-es státusz</w:t>
            </w:r>
          </w:p>
        </w:tc>
        <w:tc>
          <w:tcPr>
            <w:tcW w:type="dxa" w:w="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Idő</w:t>
            </w:r>
          </w:p>
        </w:tc>
      </w:tr>
      <w:tr>
        <w:tc>
          <w:tcPr>
            <w:tcW w:type="dxa" w:w="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A/1</w:t>
            </w:r>
          </w:p>
        </w:tc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Értékvesztés miatti veszteség – impairment loss</w:t>
            </w:r>
          </w:p>
        </w:tc>
        <w:tc>
          <w:tcPr>
            <w:tcW w:type="dxa" w:w="31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16.6, 63; IAS 36.59–60</w:t>
            </w:r>
          </w:p>
        </w:tc>
        <w:tc>
          <w:tcPr>
            <w:tcW w:type="dxa" w:w="2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KÖTELEZŐ – változatlan</w:t>
            </w:r>
          </w:p>
        </w:tc>
        <w:tc>
          <w:tcPr>
            <w:tcW w:type="dxa" w:w="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~1 p</w:t>
            </w:r>
          </w:p>
        </w:tc>
      </w:tr>
      <w:tr>
        <w:tc>
          <w:tcPr>
            <w:tcW w:type="dxa" w:w="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A/2</w:t>
            </w:r>
          </w:p>
        </w:tc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Eszköz – asset</w:t>
            </w:r>
          </w:p>
        </w:tc>
        <w:tc>
          <w:tcPr>
            <w:tcW w:type="dxa" w:w="31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38.8 (lábjegyzettel); Keretelv 4.3</w:t>
            </w:r>
          </w:p>
        </w:tc>
        <w:tc>
          <w:tcPr>
            <w:tcW w:type="dxa" w:w="2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KÖTELEZŐ; ! a standard-definíció nem a 2018-as keretelvi</w:t>
            </w:r>
          </w:p>
        </w:tc>
        <w:tc>
          <w:tcPr>
            <w:tcW w:type="dxa" w:w="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~1 p</w:t>
            </w:r>
          </w:p>
        </w:tc>
      </w:tr>
      <w:tr>
        <w:tc>
          <w:tcPr>
            <w:tcW w:type="dxa" w:w="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A/3</w:t>
            </w:r>
          </w:p>
        </w:tc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Rövid futamidejű lízing – short-term lease</w:t>
            </w:r>
          </w:p>
        </w:tc>
        <w:tc>
          <w:tcPr>
            <w:tcW w:type="dxa" w:w="31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IFRS 16 A. függelék, 5–8, 53 c)</w:t>
            </w:r>
          </w:p>
        </w:tc>
        <w:tc>
          <w:tcPr>
            <w:tcW w:type="dxa" w:w="2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KÖTELEZŐ – változatlan</w:t>
            </w:r>
          </w:p>
        </w:tc>
        <w:tc>
          <w:tcPr>
            <w:tcW w:type="dxa" w:w="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~1 p</w:t>
            </w:r>
          </w:p>
        </w:tc>
      </w:tr>
      <w:tr>
        <w:tc>
          <w:tcPr>
            <w:tcW w:type="dxa" w:w="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B/1</w:t>
            </w:r>
          </w:p>
        </w:tc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Céltartalék, függő kötelezettség, függő követelés + magyar párhuzam</w:t>
            </w:r>
          </w:p>
        </w:tc>
        <w:tc>
          <w:tcPr>
            <w:tcW w:type="dxa" w:w="31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37; Szt. 3. § (8) 14–18., 41. §, 77. §, 81. §, 90. §</w:t>
            </w:r>
          </w:p>
        </w:tc>
        <w:tc>
          <w:tcPr>
            <w:tcW w:type="dxa" w:w="2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KÖTELEZŐ; ⟳ a diszkont lebontása finanszírozási kategória; E: IAS 37 célzott módosítási tervezet</w:t>
            </w:r>
          </w:p>
        </w:tc>
        <w:tc>
          <w:tcPr>
            <w:tcW w:type="dxa" w:w="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~8 p</w:t>
            </w:r>
          </w:p>
        </w:tc>
      </w:tr>
      <w:tr>
        <w:tc>
          <w:tcPr>
            <w:tcW w:type="dxa" w:w="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B/2</w:t>
            </w:r>
          </w:p>
        </w:tc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Tényleges és halasztott nyereségadó + magyar párhuzam</w:t>
            </w:r>
          </w:p>
        </w:tc>
        <w:tc>
          <w:tcPr>
            <w:tcW w:type="dxa" w:w="31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12; IFRIC 23; Szt. 3. § (16), 37. § (8)–(9), 38. § (3) b), 45/A. §, 87. §, 92. § (5)</w:t>
            </w:r>
          </w:p>
        </w:tc>
        <w:tc>
          <w:tcPr>
            <w:tcW w:type="dxa" w:w="2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KÖTELEZŐ; ⟳ IFRS 18: nyereségadó-kategória [IAS 12.77]; Pillar Two kivétel [4A]</w:t>
            </w:r>
          </w:p>
        </w:tc>
        <w:tc>
          <w:tcPr>
            <w:tcW w:type="dxa" w:w="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~7 p</w:t>
            </w:r>
          </w:p>
        </w:tc>
      </w:tr>
      <w:tr>
        <w:tc>
          <w:tcPr>
            <w:tcW w:type="dxa" w:w="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C</w:t>
            </w:r>
          </w:p>
        </w:tc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Munkavállalói juttatások csoportjai és kezelésük</w:t>
            </w:r>
          </w:p>
        </w:tc>
        <w:tc>
          <w:tcPr>
            <w:tcW w:type="dxa" w:w="31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19.5, 8, 11–25, 26–152, 153–158, 159–171</w:t>
            </w:r>
          </w:p>
        </w:tc>
        <w:tc>
          <w:tcPr>
            <w:tcW w:type="dxa" w:w="2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KÖTELEZŐ; ⟳ IFRS 18: bemutatás [IAS 19.134], közzététel [IFRS 18.83 a) iii.]</w:t>
            </w:r>
          </w:p>
        </w:tc>
        <w:tc>
          <w:tcPr>
            <w:tcW w:type="dxa" w:w="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~10 p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00020" w:sz="12"/>
              <w:left w:val="single" w:color="B00020" w:sz="12"/>
              <w:bottom w:val="single" w:color="B00020" w:sz="12"/>
              <w:right w:val="single" w:color="B00020" w:sz="12"/>
            </w:tcBorders>
            <w:shd w:fill="FDECE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B00020"/>
              </w:rPr>
              <w:t xml:space="preserve">! Eltérés a hivatalos tételszöveg és a 2027-es szabály között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A/2: az IAS 38 eszközdefiníciója a régi keretelvi szöveg.</w:t>
            </w:r>
            <w:r>
              <w:rPr>
                <w:rFonts w:ascii="Arial" w:cs="Arial" w:eastAsia="Arial" w:hAnsi="Arial"/>
              </w:rPr>
              <w:t xml:space="preserve"> A hivatalos magyar szöveg lábjegyzete szerint „Az eszköz jelen standardban szereplő meghatározását nem vizsgálták felül a 2018-ban kiadott Pénzügyi beszámolás fogalmi keretelveiben szereplő eszközdefiníció felülvizsgálatát követően” [IAS 38.8, 25. lábjegyzet]. Ugyanez igaz az IAS 37 kötelezettség-definíciójára [IAS 37.10, 23. lábjegyzet].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A/1: a tétel az IAS 16-ot jelöli meg</w:t>
            </w:r>
            <w:r>
              <w:rPr>
                <w:rFonts w:ascii="Arial" w:cs="Arial" w:eastAsia="Arial" w:hAnsi="Arial"/>
              </w:rPr>
              <w:t xml:space="preserve"> – az IAS 16.6 valóban definiálja az értékvesztés miatti veszteséget, de a szabályozás (megtérülő érték, elszámolás, visszaírás) az IAS 36-ban van [IAS 16.63].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B/2: ⟳ bemutatás.</w:t>
            </w:r>
            <w:r>
              <w:rPr>
                <w:rFonts w:ascii="Arial" w:cs="Arial" w:eastAsia="Arial" w:hAnsi="Arial"/>
              </w:rPr>
              <w:t xml:space="preserve"> 2027-től az adóráfordítás az eredménykimutatás külön </w:t>
            </w:r>
            <w:r>
              <w:rPr>
                <w:rFonts w:ascii="Arial" w:cs="Arial" w:eastAsia="Arial" w:hAnsi="Arial"/>
                <w:b/>
                <w:bCs/>
              </w:rPr>
              <w:t xml:space="preserve">nyereségadók kategóriájába</w:t>
            </w:r>
            <w:r>
              <w:rPr>
                <w:rFonts w:ascii="Arial" w:cs="Arial" w:eastAsia="Arial" w:hAnsi="Arial"/>
              </w:rPr>
              <w:t xml:space="preserve"> kerül [IAS 12.77, IFRS 18.47 d), 67 – 2026/338].</w:t>
            </w:r>
          </w:p>
        </w:tc>
      </w:tr>
    </w:tbl>
    <w:p>
      <w:pPr>
        <w:pStyle w:val="Heading1"/>
        <w:pageBreakBefore/>
      </w:pPr>
      <w:r>
        <w:rPr>
          <w:rFonts w:ascii="Arial" w:cs="Arial" w:eastAsia="Arial" w:hAnsi="Arial"/>
        </w:rPr>
        <w:t xml:space="preserve">I. Az eredeti MKVK-tétel (szó szerint)</w:t>
      </w:r>
    </w:p>
    <w:p>
      <w:pPr>
        <w:spacing w:after="100" w:line="276"/>
      </w:pPr>
      <w:r>
        <w:rPr>
          <w:rFonts w:ascii="Arial" w:cs="Arial" w:eastAsia="Arial" w:hAnsi="Arial"/>
          <w:b/>
          <w:bCs/>
        </w:rPr>
        <w:t xml:space="preserve">7. tétel – A. Fogalmak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900"/>
        <w:gridCol w:w="4138"/>
      </w:tblGrid>
      <w:tr>
        <w:trPr>
          <w:tblHeader/>
        </w:trPr>
        <w:tc>
          <w:tcPr>
            <w:tcW w:type="dxa" w:w="1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Standard</w:t>
            </w:r>
          </w:p>
        </w:tc>
        <w:tc>
          <w:tcPr>
            <w:tcW w:type="dxa" w:w="3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Magyar</w:t>
            </w:r>
          </w:p>
        </w:tc>
        <w:tc>
          <w:tcPr>
            <w:tcW w:type="dxa" w:w="4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Angol</w:t>
            </w:r>
          </w:p>
        </w:tc>
      </w:tr>
      <w:tr>
        <w:tc>
          <w:tcPr>
            <w:tcW w:type="dxa" w:w="1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16</w:t>
            </w:r>
          </w:p>
        </w:tc>
        <w:tc>
          <w:tcPr>
            <w:tcW w:type="dxa" w:w="3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értékvesztés</w:t>
            </w:r>
          </w:p>
        </w:tc>
        <w:tc>
          <w:tcPr>
            <w:tcW w:type="dxa" w:w="4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impairment loss</w:t>
            </w:r>
          </w:p>
        </w:tc>
      </w:tr>
      <w:tr>
        <w:tc>
          <w:tcPr>
            <w:tcW w:type="dxa" w:w="1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38</w:t>
            </w:r>
          </w:p>
        </w:tc>
        <w:tc>
          <w:tcPr>
            <w:tcW w:type="dxa" w:w="3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eszköz</w:t>
            </w:r>
          </w:p>
        </w:tc>
        <w:tc>
          <w:tcPr>
            <w:tcW w:type="dxa" w:w="4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asset</w:t>
            </w:r>
          </w:p>
        </w:tc>
      </w:tr>
      <w:tr>
        <w:tc>
          <w:tcPr>
            <w:tcW w:type="dxa" w:w="1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IFRS 16</w:t>
            </w:r>
          </w:p>
        </w:tc>
        <w:tc>
          <w:tcPr>
            <w:tcW w:type="dxa" w:w="3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rövid távú lízing</w:t>
            </w:r>
          </w:p>
        </w:tc>
        <w:tc>
          <w:tcPr>
            <w:tcW w:type="dxa" w:w="4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short-term lease</w:t>
            </w:r>
          </w:p>
        </w:tc>
      </w:tr>
    </w:tbl>
    <w:p>
      <w:pPr>
        <w:spacing w:after="100" w:line="276"/>
      </w:pPr>
      <w:r>
        <w:rPr>
          <w:rFonts w:ascii="Arial" w:cs="Arial" w:eastAsia="Arial" w:hAnsi="Arial"/>
          <w:b/>
          <w:bCs/>
        </w:rPr>
        <w:t xml:space="preserve">B.</w:t>
      </w:r>
      <w:r>
        <w:rPr>
          <w:rFonts w:ascii="Arial" w:cs="Arial" w:eastAsia="Arial" w:hAnsi="Arial"/>
        </w:rPr>
        <w:t xml:space="preserve"> A céltartalékok, a függő követelések és a függő kötelezettségek kezelése az IFRS-ekben (megjelenítés, értékelés és közzétételi követelmények). (Állítsa röviden párhuzamba a magyar szabályokkal is a témát!) A tényleges és a halasztott nyereségadó az IFRS-ekben (megjelenítés, értékelés és közzététel). (Állítsa röviden párhuzamba a magyar szabályokkal is a témát!)</w:t>
      </w:r>
    </w:p>
    <w:p>
      <w:pPr>
        <w:spacing w:after="100" w:line="276"/>
      </w:pPr>
      <w:r>
        <w:rPr>
          <w:rFonts w:ascii="Arial" w:cs="Arial" w:eastAsia="Arial" w:hAnsi="Arial"/>
          <w:b/>
          <w:bCs/>
        </w:rPr>
        <w:t xml:space="preserve">C.</w:t>
      </w:r>
      <w:r>
        <w:rPr>
          <w:rFonts w:ascii="Arial" w:cs="Arial" w:eastAsia="Arial" w:hAnsi="Arial"/>
        </w:rPr>
        <w:t xml:space="preserve"> Milyen munkavállalóknak fizetett juttatásokat különböztetnek meg az IFRS-esek? Hogyan kell az egyes csoportokat kezelni?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55A11" w:sz="12"/>
              <w:left w:val="single" w:color="C55A11" w:sz="12"/>
              <w:bottom w:val="single" w:color="C55A11" w:sz="12"/>
              <w:right w:val="single" w:color="C55A11" w:sz="12"/>
            </w:tcBorders>
            <w:shd w:fill="FFF4E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C55A11"/>
              </w:rPr>
              <w:t xml:space="preserve">Terminológia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</w:rPr>
              <w:t xml:space="preserve">A tételsor „értékvesztést” ír; a hivatalos szöveg </w:t>
            </w:r>
            <w:r>
              <w:rPr>
                <w:rFonts w:ascii="Arial" w:cs="Arial" w:eastAsia="Arial" w:hAnsi="Arial"/>
                <w:b/>
                <w:bCs/>
              </w:rPr>
              <w:t xml:space="preserve">„értékvesztés miatti veszteség”</w:t>
            </w:r>
            <w:r>
              <w:rPr>
                <w:rFonts w:ascii="Arial" w:cs="Arial" w:eastAsia="Arial" w:hAnsi="Arial"/>
              </w:rPr>
              <w:t xml:space="preserve"> [IAS 16.6, IAS 36.59]. A „rövid távú lízing” hivatalosan </w:t>
            </w:r>
            <w:r>
              <w:rPr>
                <w:rFonts w:ascii="Arial" w:cs="Arial" w:eastAsia="Arial" w:hAnsi="Arial"/>
                <w:b/>
                <w:bCs/>
              </w:rPr>
              <w:t xml:space="preserve">„rövid futamidejű lízing”</w:t>
            </w:r>
            <w:r>
              <w:rPr>
                <w:rFonts w:ascii="Arial" w:cs="Arial" w:eastAsia="Arial" w:hAnsi="Arial"/>
              </w:rPr>
              <w:t xml:space="preserve"> [IFRS 16, A. függelék]. A „rövid távú” jelző a hivatalos szövegben a munkavállalói juttatásoknál szerepel („rövid távú munkavállalói juttatások”, IAS 19.8).</w:t>
            </w:r>
          </w:p>
        </w:tc>
      </w:tr>
    </w:tbl>
    <w:p>
      <w:pPr>
        <w:pStyle w:val="Heading1"/>
        <w:pageBreakBefore/>
      </w:pPr>
      <w:r>
        <w:rPr>
          <w:rFonts w:ascii="Arial" w:cs="Arial" w:eastAsia="Arial" w:hAnsi="Arial"/>
        </w:rPr>
        <w:t xml:space="preserve">A. Fogalmak</w:t>
      </w:r>
    </w:p>
    <w:p>
      <w:pPr>
        <w:pStyle w:val="Heading2"/>
      </w:pPr>
      <w:r>
        <w:rPr>
          <w:rFonts w:ascii="Arial" w:cs="Arial" w:eastAsia="Arial" w:hAnsi="Arial"/>
        </w:rPr>
        <w:t xml:space="preserve">A/1. Értékvesztés miatti veszteség – impairment loss (IAS 16)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138"/>
      </w:tblGrid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Angol → magyar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impairment loss → értékvesztés miatti veszteség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Hivatalos HU szöveg (IAS 16.6)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„Az értékvesztés miatti veszteség az az összeg, amennyivel az eszköz könyv szerinti értéke meghaladja annak megtérülő értékét.”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Kapcsolódó szabályok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Az IAS 16 az értékvesztés megállapítására az IAS 36-ot rendeli alkalmazni [IAS 16.63]. „Akkor, és csak akkor, ha az eszköz megtérülő értéke a könyv szerinti értékénél alacsonyabb, az eszköz könyv szerinti értékét a megtérülő értékre kell csökkenteni. Az ilyen csökkentés az értékvesztés miatti veszteség” [IAS 36.59]. Az eredményben azonnal meg kell jeleníteni, kivéve az átértékelt eszközt: ott az átértékelés csökkenéseként kezelendő [IAS 36.60]. A harmadik féltől kapott kártérítés akkor kerül az eredménybe, amikor követelhetővé válik – nem nettósítható az értékvesztéssel [IAS 16.65].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Vizsgán mondható definíció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„Az értékvesztés miatti veszteség az az összeg, amennyivel az eszköz könyv szerinti értéke meghaladja a megtérülő értékét – vagyis a használati érték és az elidegenítési költségekkel csökkentett valós érték közül a magasabbat. Az IAS 16 csak definiálja, az elszámolást az IAS 36 szabályozza: bekerülésiérték-modellnél azonnal az eredménybe kerül, átértékelt eszköznél először az átértékelési többletet csökkenti.”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Példa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Gép könyv szerinti értéke 500; használati érték 380, elidegenítési költséggel csökkentett valós érték 350 → megtérülő érték 380 → értékvesztés 120 (P&amp;L; ⟳ IFRS 18: működési kategória, funkció szerinti bemutatásnál a mellékletben is [IFRS 18.83 a) iv.]).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Kapcsolódó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3/B IAS 16; 19/B IAS 36 (értékvesztés, magyar párhuzam); 2/C használati érték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Tipikus félreértés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! Nem a piaci érték alá csökkenés, hanem a megtérülő érték (a kettő közül a magasabb) alá. ! Nem a Szt. „terven felüli értékcsökkenése” (az a piaci értékhez mér, „jelentős és tartós” feltétellel [Szt. 53. § (1) a)]). ! A kártérítés nem csökkenti az értékvesztést [IAS 16.65].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A/2. Eszköz – asset (IAS 38)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138"/>
      </w:tblGrid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Angol → magyar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asset → eszköz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Hivatalos HU szöveg (IAS 38.8)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„Az eszköz egy olyan erőforrás: a) amelyet múltbeli események eredményeképpen a gazdálkodó egység ellenőriz; valamint b) amelyből várhatóan jövőbeli gazdasági hasznok folynak be a gazdálkodó egységhez.” – lábjegyzet: a meghatározást a 2018-as Keretelv után nem vizsgálták felül.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A 2018-as Keretelv definíciója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Az eszköz a gazdálkodó egység által múltbeli események eredményeként ellenőrzött jelenlegi gazdasági erőforrás; a gazdasági erőforrás olyan jog, amely gazdasági hasznok előállításának lehetőségével rendelkezik (◆ KE 4.3–4.4 – a Keretelv nem uniós jogszabály, magyar szövegét nem ellenőriztem). A különbség: a Keretelv már nem kéri a hasznok „várható” befolyását, elég a lehetőség.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Az IAS 38-ban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Immateriális eszköz: azonosítható, nem pénzbeli, fizikai forma nélküli eszköz [IAS 38.8]; a megjelenítéshez az eszközdefiníció + valószínű haszon + megbízható értékelés kell [21].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Vizsgán mondható definíció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„Az IAS 38 szerint eszköz az az erőforrás, amelyet a gazdálkodó egység múltbeli események eredményeként ellenőriz, és amelyből várhatóan jövőbeli gazdasági hasznok folynak be hozzá. Ez még a régi keretelvi definíció – a 2018-as Keretelv jelenlegi gazdasági erőforrásról, jogról és a hasznok előállításának lehetőségéről beszél, a „várható” befolyás nélkül. Az uniós szöveg lábjegyzete kifejezetten jelzi, hogy az IAS 38 definícióját nem igazították hozzá.”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Példa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Szerződéses vevőkapcsolat, amelyet a gazdálkodó ellenőriz (kikényszeríthető jog) → eszköz lehet; a képzett munkaerő tudása → rendszerint nincs felette ellenőrzés, nem immateriális eszköz [IAS 38.15].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Kapcsolódó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1/B Keretelv (elemek); 2/B IAS 38; 5/A kötelem (a kötelezettség párja)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Tipikus félreértés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! Az ellenőrzés nem azonos a tulajdonjoggal. ! A standard és a Keretelv szövege eltér – ütközéskor a standard az irányadó.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A/3. Rövid futamidejű („rövid távú”) lízing – short-term lease (IFRS 16)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138"/>
      </w:tblGrid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Angol → magyar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short-term lease → rövid futamidejű lízing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Hivatalos HU szöveg (IFRS 16, A. függelék)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„Olyan lízing, amelynél a lízingfutamidő a kezdőidőpontban legfeljebb 12 hónap. A vételi opciót tartalmazó lízing nem rövid futamidejű lízing.”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Kapcsolódó szabályok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lízingbevevő választhatja, hogy nem alkalmazza a 22–49. bekezdést [5 a)]; ekkor a lízingfizetések lineárisan (vagy más szisztematikus alapon) ráfordítások [6]; a választás </w:t>
            </w:r>
            <w:r>
              <w:rPr>
                <w:rFonts w:ascii="Arial" w:cs="Arial" w:eastAsia="Arial" w:hAnsi="Arial"/>
                <w:b/>
                <w:bCs/>
              </w:rPr>
              <w:t xml:space="preserve">a mögöttes eszközök csoportja szerint</w:t>
            </w:r>
            <w:r>
              <w:rPr>
                <w:rFonts w:ascii="Arial" w:cs="Arial" w:eastAsia="Arial" w:hAnsi="Arial"/>
              </w:rPr>
              <w:t xml:space="preserve"> történik [8]; ha a lízinget módosítják vagy a futamidő megváltozik, új lízingnek kell tekinteni [7]; közzététel: a választás ténye [60] és a ráfordítás (az egy hónapnál rövidebbek nélkül lehet) [53 c)]; ha hátrányossá válik: IAS 37 [IAS 37.5 c)].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Vizsgán mondható definíció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„Rövid futamidejű lízing az, amelynek futamideje a kezdőidőpontban legfeljebb 12 hónap, és nincs benne vételi opció. Erre a lízingbevevő választhatja, hogy nem mutat ki használatijog-eszközt és lízingkötelezettséget, hanem a díjat lineárisan ráfordításként számolja el. A választás eszközcsoportonként történik, szemben a kis értékű eszközzel, ahol lízingenként.”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Példa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Irodabérlet 10 hónapra, hosszabbítási opcióval, amelynek lehívása észszerűen biztos → a lízingfutamidő a hosszabbítással együtt értendő, ha az 12 hónap fölé visz, nem rövid futamidejű. Munkagép 6 hónapra, vételi opcióval → nem rövid futamidejű.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Kapcsolódó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4/A lízingfutamidő; 5/B IFRS 16; 6/A kis értékű eszköz</w:t>
            </w:r>
          </w:p>
        </w:tc>
      </w:tr>
      <w:tr>
        <w:tc>
          <w:tcPr>
            <w:tcW w:type="dxa" w:w="2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Tipikus félreértés</w:t>
            </w:r>
          </w:p>
        </w:tc>
        <w:tc>
          <w:tcPr>
            <w:tcW w:type="dxa" w:w="7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! Nem a szerződés névleges időtartama, hanem az IFRS 16 szerinti lízingfutamidő (az észszerűen biztos opciókkal) számít. ! Vételi opció esetén nem alkalmazható. ! Eszközcsoportonként, nem egyedileg választható [8].</w:t>
            </w:r>
          </w:p>
        </w:tc>
      </w:tr>
    </w:tbl>
    <w:p>
      <w:pPr>
        <w:pStyle w:val="Heading1"/>
        <w:pageBreakBefore/>
      </w:pPr>
      <w:r>
        <w:rPr>
          <w:rFonts w:ascii="Arial" w:cs="Arial" w:eastAsia="Arial" w:hAnsi="Arial"/>
        </w:rPr>
        <w:t xml:space="preserve">B. Céltartalékok, függő kötelezettségek és függő követelések (IAS 37) · tényleges és halasztott nyereségadó (IAS 12) + magyar párhuzam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A B-tétel két önálló standardot kér, mindkettőhöz magyar összevetéssel. Időbeosztás: ~8 perc IAS 37 (+ Szt.), ~7 perc IAS 12 (+ Szt.).</w:t>
      </w:r>
    </w:p>
    <w:p>
      <w:pPr>
        <w:pStyle w:val="Heading2"/>
      </w:pPr>
      <w:r>
        <w:rPr>
          <w:rFonts w:ascii="Arial" w:cs="Arial" w:eastAsia="Arial" w:hAnsi="Arial"/>
        </w:rPr>
        <w:t xml:space="preserve">II. Vizsgán elmondandó lényeg</w:t>
      </w:r>
    </w:p>
    <w:p>
      <w:pPr>
        <w:pStyle w:val="Heading3"/>
      </w:pPr>
      <w:r>
        <w:rPr>
          <w:rFonts w:ascii="Arial" w:cs="Arial" w:eastAsia="Arial" w:hAnsi="Arial"/>
        </w:rPr>
        <w:t xml:space="preserve">IAS 37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Fogalmak [10]:</w:t>
      </w:r>
      <w:r>
        <w:rPr>
          <w:rFonts w:ascii="Arial" w:cs="Arial" w:eastAsia="Arial" w:hAnsi="Arial"/>
        </w:rPr>
        <w:t xml:space="preserve"> céltartalék = bizonytalan ütemezésű vagy összegű kötelezettség; jogi és vélelmezett kötelem; függő kötelezettség = lehetséges kötelem, vagy meglévő kötelem, amely nem jeleníthető meg (nem valószínű a kiáramlás, vagy nem becsülhető megbízhatóan); függő követelés = lehetséges követelés.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Megjelenítés [14]:</w:t>
      </w:r>
      <w:r>
        <w:rPr>
          <w:rFonts w:ascii="Arial" w:cs="Arial" w:eastAsia="Arial" w:hAnsi="Arial"/>
        </w:rPr>
        <w:t xml:space="preserve"> meglévő (jogi vagy vélelmezett) kötelem múltbeli esemény miatt + valószínű („valószínűbb, mint nem” [23]) erőforrás-kiáramlás + megbízható becslés. Függő kötelezettséget és függő követelést nem szabad megjeleníteni [27, 31].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Értékelés:</w:t>
      </w:r>
      <w:r>
        <w:rPr>
          <w:rFonts w:ascii="Arial" w:cs="Arial" w:eastAsia="Arial" w:hAnsi="Arial"/>
        </w:rPr>
        <w:t xml:space="preserve"> a beszámolási időszak végén szükséges kiadás legjobb becslése [36–37]: sokaságnál várható érték [39], egyedi kötelemnél a legvalószínűbb kimenetel, a többi kimenetel mérlegelésével [40]; kockázat és bizonytalanság [42–43]; diszkontálás, ha lényeges, adózás előtti rátával [45–47]; jövőbeli események, ha objektív bizonyíték van [48–50]; az eszközök várható elidegenítésének nyeresége nem vehető figyelembe [51].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Megtérítés [53]:</w:t>
      </w:r>
      <w:r>
        <w:rPr>
          <w:rFonts w:ascii="Arial" w:cs="Arial" w:eastAsia="Arial" w:hAnsi="Arial"/>
        </w:rPr>
        <w:t xml:space="preserve"> csak ha gyakorlatilag biztos; elkülönült eszköz; legfeljebb a céltartalék összegéig; a ráfordítás nettó bemutatható [54].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Változás, felhasználás:</w:t>
      </w:r>
      <w:r>
        <w:rPr>
          <w:rFonts w:ascii="Arial" w:cs="Arial" w:eastAsia="Arial" w:hAnsi="Arial"/>
        </w:rPr>
        <w:t xml:space="preserve"> minden időszak végén felülvizsgálni [59]; a diszkont lebontása hitelfelvételi költség [60] – ⟳ 2027-től finanszírozási kategória; csak az eredeti célra használható fel [61].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Speciális esetek:</w:t>
      </w:r>
      <w:r>
        <w:rPr>
          <w:rFonts w:ascii="Arial" w:cs="Arial" w:eastAsia="Arial" w:hAnsi="Arial"/>
        </w:rPr>
        <w:t xml:space="preserve"> jövőbeli működési veszteségre nincs céltartalék [63]; hátrányos szerződés [66–69]; átszervezés: részletes formális terv + jogos várakozás [72], csak közvetlen ráfordítások [80–81].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Közzététel:</w:t>
      </w:r>
      <w:r>
        <w:rPr>
          <w:rFonts w:ascii="Arial" w:cs="Arial" w:eastAsia="Arial" w:hAnsi="Arial"/>
        </w:rPr>
        <w:t xml:space="preserve"> céltartalékcsoportonként egyeztetés [84] és leírás [85]; függő kötelezettség, ha a kiáramlás nem csekély valószínűségű [86]; függő követelés, ha a beáramlás valószínű [89]; komolyan hátrányos esetben mentesítés [92].</w:t>
      </w:r>
    </w:p>
    <w:p>
      <w:pPr>
        <w:pStyle w:val="Heading3"/>
      </w:pPr>
      <w:r>
        <w:rPr>
          <w:rFonts w:ascii="Arial" w:cs="Arial" w:eastAsia="Arial" w:hAnsi="Arial"/>
        </w:rPr>
        <w:t xml:space="preserve">IAS 12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Tényleges adó:</w:t>
      </w:r>
      <w:r>
        <w:rPr>
          <w:rFonts w:ascii="Arial" w:cs="Arial" w:eastAsia="Arial" w:hAnsi="Arial"/>
        </w:rPr>
        <w:t xml:space="preserve"> a meg nem fizetett tárgyévi és korábbi adó kötelezettség, a túlfizetés eszköz [12]; a korábbi időszakra visszavihető veszteség haszna eszköz [13]; értékelés a beszámolási időszak végéig hatályba léptetett vagy lényegében hatályba léptetett kulccsal [46].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Átmeneti különbözet [5]:</w:t>
      </w:r>
      <w:r>
        <w:rPr>
          <w:rFonts w:ascii="Arial" w:cs="Arial" w:eastAsia="Arial" w:hAnsi="Arial"/>
        </w:rPr>
        <w:t xml:space="preserve"> könyv szerinti érték − adóalap; adóköteles → halasztott adókötelezettség [15]; levonható → halasztott adókövetelés, ha valószínű a jövőbeli adóköteles nyereség [24]; fel nem használt negatív adóalap és adókedvezmény → halasztott adókövetelés azonos feltétellel [34–36].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Kivételek:</w:t>
      </w:r>
      <w:r>
        <w:rPr>
          <w:rFonts w:ascii="Arial" w:cs="Arial" w:eastAsia="Arial" w:hAnsi="Arial"/>
        </w:rPr>
        <w:t xml:space="preserve"> goodwill kezdeti megjelenítése [15 a)]; kezdeti megjelenítés olyan ügyletben, amely nem üzleti kombináció, nem érinti sem a számviteli, sem az adóköteles eredményt, és nem keletkeztet egyenlő adóköteles és levonható különbözetet [15 b), 24] (2023 óta ez utóbbi feltétel miatt a lízingre és a leszerelésre halasztott adót kell számolni); leányvállalati befektetések speciális szabálya [39, 44]; ⟳ Pillar Two: halasztott adó nem számolható [4A].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Értékelés:</w:t>
      </w:r>
      <w:r>
        <w:rPr>
          <w:rFonts w:ascii="Arial" w:cs="Arial" w:eastAsia="Arial" w:hAnsi="Arial"/>
        </w:rPr>
        <w:t xml:space="preserve"> a várható realizáláskori, lényegében hatályba léptetett kulccsal [47]; a megtérülés módját tükrözve [51]; valósérték-modellű befektetési célú ingatlannál eladással való megtérülés vélelme [51C]; nincs diszkontálás [53]; a halasztott adókövetelést minden időszak végén felül kell vizsgálni [56].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Hová kerül:</w:t>
      </w:r>
      <w:r>
        <w:rPr>
          <w:rFonts w:ascii="Arial" w:cs="Arial" w:eastAsia="Arial" w:hAnsi="Arial"/>
        </w:rPr>
        <w:t xml:space="preserve"> az adó követi a tételt – eredmény, egyéb átfogó jövedelem vagy közvetlenül saját tőke [57–58, 61A]; üzleti kombinációban a goodwillt érinti [66].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Bemutatás, közzététel:</w:t>
      </w:r>
      <w:r>
        <w:rPr>
          <w:rFonts w:ascii="Arial" w:cs="Arial" w:eastAsia="Arial" w:hAnsi="Arial"/>
        </w:rPr>
        <w:t xml:space="preserve"> beszámítás szigorú feltételekkel [71, 74]; ⟳ az adóráfordítás a nyereségadók kategóriájában [77, IFRS 18.67]; adóráfordítás elemei [79–80]; az effektív adókulcs egyeztetése [81 c)]; fel nem használt veszteségek [81 e)]; a halasztott adókövetelés alátámasztása veszteséges múlt esetén [82]; bizonytalan adókezelés: IFRIC 23.</w:t>
      </w:r>
    </w:p>
    <w:p>
      <w:pPr>
        <w:pStyle w:val="Heading2"/>
      </w:pPr>
      <w:r>
        <w:rPr>
          <w:rFonts w:ascii="Arial" w:cs="Arial" w:eastAsia="Arial" w:hAnsi="Arial"/>
        </w:rPr>
        <w:t xml:space="preserve">III. 30 másodperces kezdés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F3864" w:sz="12"/>
              <w:left w:val="single" w:color="1F3864" w:sz="12"/>
              <w:bottom w:val="single" w:color="1F3864" w:sz="12"/>
              <w:right w:val="single" w:color="1F3864" w:sz="12"/>
            </w:tcBorders>
            <w:shd w:fill="E8F1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F3864"/>
              </w:rPr>
              <w:t xml:space="preserve">Mondd el így – nyitás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</w:rPr>
              <w:t xml:space="preserve">„A tétel két kötelezettségtípusról szól, amelyek közös vonása a becslés. Az IAS 37 szerint céltartalékot akkor képzünk, ha egy múltbeli esemény miatt meglévő jogi vagy vélelmezett kötelmünk van, valószínű az erőforrás-kiáramlás, és az összeg megbízhatóan becsülhető; ha ezek közül valami hiányzik, legfeljebb függő kötelezettséget teszünk közzé, függő követelést pedig csak akkor, ha a beáramlás valószínű. Az IAS 12 a nyereségadót két részre bontja: a tényleges adó a tárgyévi adóköteles nyereség után fizetendő adó, a halasztott adó pedig a könyv szerinti érték és az adóalap közötti átmeneti különbözetek jövőbeli adóhatása. Mindkettőnél elmondom a megjelenítést, az értékelést, a közzétételt, a 2027-es IFRS 18-as változást és a magyar szabályokkal való összevetést.”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IV. 15 perces feleleti vázlat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300"/>
        <w:gridCol w:w="6438"/>
      </w:tblGrid>
      <w:tr>
        <w:trPr>
          <w:tblHeader/>
        </w:trPr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Perc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Blokk</w:t>
            </w:r>
          </w:p>
        </w:tc>
        <w:tc>
          <w:tcPr>
            <w:tcW w:type="dxa" w:w="6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Kulcsszavak</w:t>
            </w:r>
          </w:p>
        </w:tc>
      </w:tr>
      <w:tr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0–1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 hatókör, fogalmak</w:t>
            </w:r>
          </w:p>
        </w:tc>
        <w:tc>
          <w:tcPr>
            <w:tcW w:type="dxa" w:w="6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kivételek [1–5]; céltartalék, kötelem, jogi/vélelmezett, függő kötelezettség és követelés [10]; függő ≠ céltartalék [12–13]</w:t>
            </w:r>
          </w:p>
        </w:tc>
      </w:tr>
      <w:tr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1–3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Megjelenítés</w:t>
            </w:r>
          </w:p>
        </w:tc>
        <w:tc>
          <w:tcPr>
            <w:tcW w:type="dxa" w:w="6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három feltétel [14]; meglévő kötelem, kötelmet keletkeztető esemény [15–22]; „valószínűbb, mint nem” [23]; sokaság [24]; megbízható becslés [25–26]; függő tételek [27–35]</w:t>
            </w:r>
          </w:p>
        </w:tc>
      </w:tr>
      <w:tr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3–5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Értékelés</w:t>
            </w:r>
          </w:p>
        </w:tc>
        <w:tc>
          <w:tcPr>
            <w:tcW w:type="dxa" w:w="6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legjobb becslés [36–37]; várható érték és legvalószínűbb kimenetel [39–40]; kockázat [42–43]; jelenérték, adózás előtti ráta [45–47]; jövőbeli események, jogszabály [48–50]; elidegenítés nyeresége [51]; megtérítés [53–58]; felülvizsgálat, letekeredés [59–60]; felhasználás [61–62]</w:t>
            </w:r>
          </w:p>
        </w:tc>
      </w:tr>
      <w:tr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5–6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Speciális esetek</w:t>
            </w:r>
          </w:p>
        </w:tc>
        <w:tc>
          <w:tcPr>
            <w:tcW w:type="dxa" w:w="6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működési veszteség [63–65]; hátrányos szerződés [66–69]; átszervezés [70–83]</w:t>
            </w:r>
          </w:p>
        </w:tc>
      </w:tr>
      <w:tr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6–7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Közzététel</w:t>
            </w:r>
          </w:p>
        </w:tc>
        <w:tc>
          <w:tcPr>
            <w:tcW w:type="dxa" w:w="6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[84–92]; ⟳ IFRS 18: a letekeredés finanszírozási</w:t>
            </w:r>
          </w:p>
        </w:tc>
      </w:tr>
      <w:tr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7–8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Magyar párhuzam I.</w:t>
            </w:r>
          </w:p>
        </w:tc>
        <w:tc>
          <w:tcPr>
            <w:tcW w:type="dxa" w:w="6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Szt. 41. § (1)–(4), 3. § (8) 14–18., 81. § (3) a), 77. § (3) a), 90. § (4) a)</w:t>
            </w:r>
          </w:p>
        </w:tc>
      </w:tr>
      <w:tr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8–9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 fogalmak, tényleges adó</w:t>
            </w:r>
          </w:p>
        </w:tc>
        <w:tc>
          <w:tcPr>
            <w:tcW w:type="dxa" w:w="6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fogalmak [5]; tényleges adó [12–14, 46]; IFRIC 23</w:t>
            </w:r>
          </w:p>
        </w:tc>
      </w:tr>
      <w:tr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9–12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</w:t>
            </w:r>
          </w:p>
        </w:tc>
        <w:tc>
          <w:tcPr>
            <w:tcW w:type="dxa" w:w="6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átmeneti különbözet és adóalap [5, 7–10]; halasztott adókötelezettség és kivételek [15]; halasztott adókövetelés [24–36]; értékelés [47–56]; hová kerül [57–68]; Pillar Two [4A]</w:t>
            </w:r>
          </w:p>
        </w:tc>
      </w:tr>
      <w:tr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12–13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Bemutatás, közzététel</w:t>
            </w:r>
          </w:p>
        </w:tc>
        <w:tc>
          <w:tcPr>
            <w:tcW w:type="dxa" w:w="6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beszámítás [71–76]; ⟳ nyereségadó-kategória [77]; elemek [79–80]; egyeztetés [81 c)]; [82]</w:t>
            </w:r>
          </w:p>
        </w:tc>
      </w:tr>
      <w:tr>
        <w:tc>
          <w:tcPr>
            <w:tcW w:type="dxa" w:w="9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13–15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Magyar párhuzam II. + zárás</w:t>
            </w:r>
          </w:p>
        </w:tc>
        <w:tc>
          <w:tcPr>
            <w:tcW w:type="dxa" w:w="6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Szt. 3. § (16), 45/A. §, 37. § (8)–(9), 38. § (3) b), 87. § (2)–(3), 92. § (5); zárómondat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V. Szóbeli felelet – mondható változat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F3864" w:sz="12"/>
              <w:left w:val="single" w:color="1F3864" w:sz="12"/>
              <w:bottom w:val="single" w:color="1F3864" w:sz="12"/>
              <w:right w:val="single" w:color="1F3864" w:sz="12"/>
            </w:tcBorders>
            <w:shd w:fill="E8F1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F3864"/>
              </w:rPr>
              <w:t xml:space="preserve">Mondd el így (kb. 13–15 perc)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IAS 37 – fogalmak.</w:t>
            </w:r>
            <w:r>
              <w:rPr>
                <w:rFonts w:ascii="Arial" w:cs="Arial" w:eastAsia="Arial" w:hAnsi="Arial"/>
              </w:rPr>
              <w:t xml:space="preserve"> A céltartalék bizonytalan ütemezésű vagy összegű kötelezettség. Kötelem lehet jogi – szerződésből, jogszabályból vagy egyéb jogi műveletből – vagy vélelmezett, amikor a gazdálkodó egység korábbi gyakorlatával, közzétett politikájával vagy konkrét nyilatkozatával jogos várakozást ébresztett. Függő kötelezettség az a lehetséges kötelem, amelynek létezését jövőbeli, nem teljesen általunk ellenőrzött esemény erősíti meg, illetve az a meglévő kötelem, amelyet nem jelenítünk meg, mert a kiáramlás nem valószínű vagy az összeg nem becsülhető megbízhatóan. Függő követelés a lehetséges követelés.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Megjelenítés.</w:t>
            </w:r>
            <w:r>
              <w:rPr>
                <w:rFonts w:ascii="Arial" w:cs="Arial" w:eastAsia="Arial" w:hAnsi="Arial"/>
              </w:rPr>
              <w:t xml:space="preserve"> Céltartalékot három feltétel együttes teljesülésekor képzünk: múltbeli esemény következtében meglévő jogi vagy vélelmezett kötelem; valószínű – azaz valószínűbb, mint nem – az erőforrás-kiáramlás; és megbízható becslés készíthető. Csak a jövőbeli üzletviteltől független kötelem jöhet szóba: ha a kiadást a jövőbeli működés megváltoztatásával el lehet kerülni, nincs céltartalék. Sok hasonló kötelemnél, például jótállásnál, a kiáramlás valószínűségét a csoport egészére nézzük. Függő kötelezettséget és függő követelést nem jelenítünk meg; a függő követelést akkor sem, ha valószínű, csak ha a beáramlás gyakorlatilag biztos – akkor már nem függő, hanem eszköz.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Értékelés.</w:t>
            </w:r>
            <w:r>
              <w:rPr>
                <w:rFonts w:ascii="Arial" w:cs="Arial" w:eastAsia="Arial" w:hAnsi="Arial"/>
              </w:rPr>
              <w:t xml:space="preserve"> A céltartalék a fordulónapi kötelem rendezéséhez szükséges kiadás legjobb becslése – az az összeg, amelyet ésszerűen fizetnénk a rendezésért vagy az átadásért. Sok tételnél várható értéket számolunk, egyedi kötelemnél a legvalószínűbb kimenetelből indulunk, de ha a többi kimenetel jellemzően magasabb, magasabb összeget képzünk. Figyelembe vesszük a kockázatot; lényeges időértéknél diszkontálunk adózás előtti, a kötelezettségre jellemző rátával; figyelembe vesszük a várható jövőbeli eseményeket – például új jogszabályt, ha gyakorlatilag biztos –, de az eszközök várható eladásának nyereségét nem. A harmadik féltől várt megtérítést csak gyakorlatilag biztos esetben, külön eszközként és legfeljebb a céltartalék összegéig mutatjuk ki. A céltartalékot minden fordulónapon felülvizsgáljuk, a diszkont lebontása hitelfelvételi költség, és a céltartalék csak az eredeti célra használható fel.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Speciális esetek.</w:t>
            </w:r>
            <w:r>
              <w:rPr>
                <w:rFonts w:ascii="Arial" w:cs="Arial" w:eastAsia="Arial" w:hAnsi="Arial"/>
              </w:rPr>
              <w:t xml:space="preserve"> Jövőbeli működési veszteségre nem képzünk céltartalékot. Hátrányos szerződésnél a meglévő kötelmet céltartalékként mutatjuk ki, előtte a kapcsolódó eszközök értékvesztését elszámoljuk. Átszervezésnél vélelmezett kötelem csak akkor van, ha részletes formális terv van, és a végrehajtás megkezdésével vagy bejelentésével jogos várakozást keltettünk; a céltartalék csak a közvetlen, szükségszerű és a folytatódó tevékenységhez nem kapcsolódó kiadásokat tartalmazza – az átképzés, a marketing, az új rendszerek nem.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Közzététel.</w:t>
            </w:r>
            <w:r>
              <w:rPr>
                <w:rFonts w:ascii="Arial" w:cs="Arial" w:eastAsia="Arial" w:hAnsi="Arial"/>
              </w:rPr>
              <w:t xml:space="preserve"> Céltartalékcsoportonként egyeztetjük a nyitó és a záró értéket, a képzést, a felhasználást, a feloldást és a diszkont lebontását, és leírjuk a kötelem jellegét, ütemezését, bizonytalanságait. A függő kötelezettséget akkor tesszük közzé, ha a kiáramlás valószínűsége nem csekély, a függő követelést akkor, ha a beáramlás valószínű. Kivételesen, ha a közzététel komolyan ártana a vitában, elég a vita jellegét és az ok tényét közölni.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Magyar párhuzam – céltartalék.</w:t>
            </w:r>
            <w:r>
              <w:rPr>
                <w:rFonts w:ascii="Arial" w:cs="Arial" w:eastAsia="Arial" w:hAnsi="Arial"/>
              </w:rPr>
              <w:t xml:space="preserve"> A Szt. is kötelező céltartalékot ír elő a harmadik felekkel szembeni, valószínű vagy bizonyos, de összegében vagy esedékességében bizonytalan fizetési kötelezettségekre, például garanciára, végkielégítésre, környezetvédelmi kötelezettségre és a szerződésből várható veszteségre. A lényeges különbség, hogy a Szt. választható céltartalékot is enged a várható, jelentős, időszakonként ismétlődő jövőbeni költségekre, például fenntartásra vagy átszervezésre – az IFRS ezt tiltja, mert nincs meglévő kötelem. A Szt. függő kötelezettség fogalma is más: a kezesség, garancia, per miatti várható kötelezettség mérlegen kívüli tétel, amelyet a kiegészítő mellékletben mutatunk be. Eredményoldalon a Szt. bruttó: a képzés egyéb ráfordítás, a felhasználás és a feloldás egyéb bevétel.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IAS 12 – tényleges adó.</w:t>
            </w:r>
            <w:r>
              <w:rPr>
                <w:rFonts w:ascii="Arial" w:cs="Arial" w:eastAsia="Arial" w:hAnsi="Arial"/>
              </w:rPr>
              <w:t xml:space="preserve"> A tárgyévi és korábbi időszakok meg nem fizetett adója kötelezettség, a túlfizetés eszköz. A tényleges adót a beszámolási időszak végéig hatályba léptetett vagy lényegében hatályba léptetett kulccsal és szabályokkal értékeljük. Ha bizonytalan, hogy az adóhatóság elfogadja-e egy tétel kezelését, az IFRIC 23 szerint a legvalószínűbb összeggel vagy a várható értékkel tükrözzük a bizonytalanságot.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Halasztott adó.</w:t>
            </w:r>
            <w:r>
              <w:rPr>
                <w:rFonts w:ascii="Arial" w:cs="Arial" w:eastAsia="Arial" w:hAnsi="Arial"/>
              </w:rPr>
              <w:t xml:space="preserve"> Az átmeneti különbözet egy eszköz vagy kötelezettség könyv szerinti értéke és adóalapja közötti különbség. Minden adóköteles átmeneti különbözetre halasztott adókötelezettséget kell kimutatni, kivéve a goodwill kezdeti megjelenítését és az olyan kezdeti megjelenítést, amely nem üzleti kombináció, sem a számviteli, sem az adóköteles eredményt nem érinti, és nem keletkeztet egyenlő összegű adóköteles és levonható különbözetet – ez utóbbi feltétel miatt 2023 óta a lízingre és a leszerelési kötelemre is kell halasztott adót számolni. Levonható különbözetre, fel nem használt negatív adóalapra és adókedvezményre halasztott adókövetelést csak akkor mutatunk ki, ha valószínű, hogy lesz adóköteles nyereség a felhasználásra; ezt minden fordulónapon felülvizsgáljuk. A halasztott adót a várható realizáláskori, lényegében hatályba léptetett kulccsal, a megtérülés módjának megfelelően értékeljük, és nem diszkontáljuk. Az adó követi a tételt: az eredménybe, az egyéb átfogó jövedelembe vagy közvetlenül a saját tőkébe kerül. A globális minimumadóra a standard kivételt ad: arra halasztott adót nem szabad kimutatni.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Bemutatás és közzététel.</w:t>
            </w:r>
            <w:r>
              <w:rPr>
                <w:rFonts w:ascii="Arial" w:cs="Arial" w:eastAsia="Arial" w:hAnsi="Arial"/>
              </w:rPr>
              <w:t xml:space="preserve"> Tényleges adót és halasztott adót csak jogilag kikényszeríthető beszámítási jog és nettó rendezési szándék esetén, halasztott adót csak azonos adóhatóságnál nettósíthatunk. 2027-től az adóráfordítás az eredménykimutatás külön nyereségadók kategóriájába kerül. Közzé kell tenni az adóráfordítás elemeit, az adóráfordítás és a számviteli eredmény kapcsolatát – számszaki egyeztetéssel –, a fel nem használt veszteségeket, amelyekre nincs halasztott adókövetelés, és veszteséges múlt esetén a halasztott adókövetelés alátámasztását.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Magyar párhuzam – nyereségadó.</w:t>
            </w:r>
            <w:r>
              <w:rPr>
                <w:rFonts w:ascii="Arial" w:cs="Arial" w:eastAsia="Arial" w:hAnsi="Arial"/>
              </w:rPr>
              <w:t xml:space="preserve"> A Szt.-ben a tényleges adó az adófizetési kötelezettség. A halasztott adó 2024 óta választható: ha a vállalkozó alkalmazza, a halasztott adókövetelést és -kötelezettséget is ki kell mutatnia, a követelést a befektetett eszközök, a kötelezettséget a hosszú lejáratú kötelezettségek között, azonos adóhatóságnál nettó módon. A fogalmak eredményszemléletűek – az adózás előtti eredményben és az adóalapban eltérő időben elszámolt tételek adóhatásából indulnak –, de az eltérő bekerülési értékből eredő különbözetet is kezelik. Két fontos eltérés: az első alkalmazás és a kezdeti bekerülési különbözet hatása az eredménytartalékot érinti, és a halasztott adókövetelés mérleg szerinti értékét lekötött tartalékba kell helyezni.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VI–VII. Standardok és standardpontok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4800"/>
        <w:gridCol w:w="2038"/>
      </w:tblGrid>
      <w:tr>
        <w:trPr>
          <w:tblHeader/>
        </w:trP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Téma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Hivatkozás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Ellenőrzés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 hatókör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37.1–9 (5 c): lízing; 5 g): IFRS 15)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EU HU szöveg (2023/1803)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 fogalmak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37.10–13 (a kötelezettség-definíció a régi keretelvi – 23. lábjegyzet)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EU HU szöveg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 megjelenítés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37.14–35 (23: „valószínűbb, mint nem” – 24. lábjegyzet: más standardban nem feltétlenül)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EU HU szöveg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 értékelés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37.36–52; megtérítés 53–58; változás 59–60; felhasználás 61–62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EU HU szöveg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 speciális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37.63–65 (működési veszteség), 66–69 (hátrányos szerződés), 70–83 (átszervezés)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EU HU szöveg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 közzététel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37.84–92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EU HU szöveg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⟳ IFRS 18 – IAS 37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céltartalékok diszkontjának lebontása: nem kizárólag forrásbevonásból eredő kötelezettség, a kamat finanszírozási kategória [IFRS 18.59 b), 61 a), B53 e)–f)]; a lényegesség fogalma: IAS 37.104 lábjegyzet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EU HU szöveg (2026/338)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 fogalmak, tényleges adó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12.5, 7–11, 12–14, 46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EU HU szöveg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 halasztott adó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12.15–45 (15, 24: a 2021-es módosítás iii./c) feltétele), 46–56, 57–68C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EU HU szöveg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 Pillar Two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12.4A (kivétel), 88A–88D (közzététel ◆)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ifrs.org 2024; ◆ az uniós befogadó rendelet száma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⟳ IAS 12 bemutatás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12.62A, 77 (nyereségadók kategóriája), 78, 81 ab), h), 98N; IFRS 18.67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EU HU szöveg (2026/338)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 közzététel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12.79–88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EU HU szöveg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Bizonytalan adókezelés</w:t>
            </w:r>
          </w:p>
        </w:tc>
        <w:tc>
          <w:tcPr>
            <w:tcW w:type="dxa" w:w="4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IFRIC 23.8–12</w:t>
            </w:r>
          </w:p>
        </w:tc>
        <w:tc>
          <w:tcPr>
            <w:tcW w:type="dxa" w:w="2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EU HU szöveg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VIII. Megjelenítés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rPr>
          <w:tblHeader/>
        </w:trP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Helyzet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IAS 37 kezelés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Meglévő kötelem, valószínű kiáramlás, megbízható becslés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céltartalék [14]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Meglévő kötelem, a kiáramlás nem valószínű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függő kötelezettség – közzététel, ha nem csekély a valószínűség [23, 86]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Lehetséges kötelem (jövőbeli esemény erősíti meg)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függő kötelezettség [10]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Meglévő kötelem, megbízható becslés nem készíthető (kivételesen ritka)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függő kötelezettség [26]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Egyetemleges felelősség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mások által várhatóan teljesített rész függő kötelezettség, a saját valószínű rész céltartalék [29]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Lehetséges követelés, a beáramlás valószínű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függő követelés – közzététel [34, 89]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beáramlás gyakorlatilag biztos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már nem függő – eszköz [33, 35]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Jövőbeli működési veszteség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nincs céltartalék; értékvesztési jel [63–65]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Új jogszabálytervezet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kötelem csak akkor, ha gyakorlatilag biztos, hogy a tervezet szerint elfogadják [22]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rPr>
          <w:tblHeader/>
        </w:trP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Helyzet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IAS 12 kezelés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Adóköteles átmeneti különbözet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adókötelezettség – kivéve a goodwill és a kezdeti megjelenítés kivételét [15]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Levonható átmeneti különbözet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adókövetelés, ha valószínű az elegendő adóköteles nyereség [24, 27–31]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Fel nem használt negatív adóalap, adókedvezmény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adókövetelés azonos feltétellel; a korábbi veszteségek erős ellenbizonyíték [34–36]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Leányvállalati befektetés adóköteles különbözete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adókötelezettség, kivéve, ha az anyavállalat ellenőrzi a visszafordulást és az belátható időn belül nem valószínű [39]</w:t>
            </w:r>
          </w:p>
        </w:tc>
      </w:tr>
      <w:tr>
        <w:tc>
          <w:tcPr>
            <w:tcW w:type="dxa" w:w="4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Globális minimumadó (Pillar Two)</w:t>
            </w:r>
          </w:p>
        </w:tc>
        <w:tc>
          <w:tcPr>
            <w:tcW w:type="dxa" w:w="5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nem jeleníthető meg és nem tehető közzé halasztott adó [4A]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IX. 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Elem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Szabály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Céltartalék: legjobb becslés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fordulónapi rendezés vagy átadás összege [36–37]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Sokaság – várható érték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hivatalos szöveg példája: kisebb hiba 1 millió, nagyobb hiba 4 millió; 75% hibátlan, 20% kisebb, 5% nagyobb hiba → 0 × 75% + 1 millió × 20% + 4 millió × 5% = </w:t>
            </w:r>
            <w:r>
              <w:rPr>
                <w:rFonts w:ascii="Arial" w:cs="Arial" w:eastAsia="Arial" w:hAnsi="Arial"/>
                <w:b/>
                <w:bCs/>
              </w:rPr>
              <w:t xml:space="preserve">400 000</w:t>
            </w:r>
            <w:r>
              <w:rPr>
                <w:rFonts w:ascii="Arial" w:cs="Arial" w:eastAsia="Arial" w:hAnsi="Arial"/>
              </w:rPr>
              <w:t xml:space="preserve"> [39]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Egyedi kötelem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legvalószínűbb kimenetel, de ha a többi kimenetel jellemzően magasabb, magasabb összeg [40]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Kockázat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óvatos megfontolás, de nem túlzott céltartalék [42–43]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Jelenérték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 lényeges; adózás előtti, a piaci időértéket és a kötelezettség kockázatát tükröző ráta; ha a cash flow-t már kiigazították a kockázattal, a ráta nem tükrözheti újra [45–47]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Jövőbeli események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technológia, jogszabály – ha elegendő objektív bizonyíték van [48–50]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Elidegenítés nyeresége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nem vehető figyelembe [51], átszervezésnél sem [83]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Megtérítés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gyakorlatilag biztos → külön eszköz, legfeljebb a céltartalékig; a ráfordítás nettó bemutatható [53–54]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Tényleges adó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fordulónapig hatályba léptetett vagy lényegében hatályba léptetett kulccsal [46]; bizonytalan kezelés: legvalószínűbb összeg vagy várható érték [IFRIC 23.11]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realizáláskor várható, lényegében hatályba léptetett kulccsal [47]; a megtérülés módja szerint [51–51A]; valósérték-modellű befektetési célú ingatlan: eladás vélelme [51C]; </w:t>
            </w:r>
            <w:r>
              <w:rPr>
                <w:rFonts w:ascii="Arial" w:cs="Arial" w:eastAsia="Arial" w:hAnsi="Arial"/>
                <w:b/>
                <w:bCs/>
              </w:rPr>
              <w:t xml:space="preserve">nincs diszkontálás</w:t>
            </w:r>
            <w:r>
              <w:rPr>
                <w:rFonts w:ascii="Arial" w:cs="Arial" w:eastAsia="Arial" w:hAnsi="Arial"/>
              </w:rPr>
              <w:t xml:space="preserve"> [53]; a halasztott adókövetelés felülvizsgálata [56]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X–XII. Bemutatás, közzététel, P&amp;L / OCI / saját tőke / cash 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700"/>
        <w:gridCol w:w="4238"/>
      </w:tblGrid>
      <w:tr>
        <w:trPr>
          <w:tblHeader/>
        </w:trP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Terület</w:t>
            </w:r>
          </w:p>
        </w:tc>
        <w:tc>
          <w:tcPr>
            <w:tcW w:type="dxa" w:w="3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IAS 37</w:t>
            </w:r>
          </w:p>
        </w:tc>
        <w:tc>
          <w:tcPr>
            <w:tcW w:type="dxa" w:w="4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IAS 12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Mérleg</w:t>
            </w:r>
          </w:p>
        </w:tc>
        <w:tc>
          <w:tcPr>
            <w:tcW w:type="dxa" w:w="3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céltartalékok külön sor [IFRS 18.103 n)]; rövid / hosszú lejárat</w:t>
            </w:r>
          </w:p>
        </w:tc>
        <w:tc>
          <w:tcPr>
            <w:tcW w:type="dxa" w:w="4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tényleges adó és halasztott adó külön sor [IFRS 18.103]; beszámítás csak a 71. és 74. bekezdés feltételeivel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P&amp;L</w:t>
            </w:r>
          </w:p>
        </w:tc>
        <w:tc>
          <w:tcPr>
            <w:tcW w:type="dxa" w:w="3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⟳ a képzés és a feloldás jellemzően működési kategória; a diszkont lebontása finanszírozási [IFRS 18.61 a), B53 e)–f)]</w:t>
            </w:r>
          </w:p>
        </w:tc>
        <w:tc>
          <w:tcPr>
            <w:tcW w:type="dxa" w:w="4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⟳ nyereségadók kategóriája [IAS 12.77; IFRS 18.47 d), 67]; a kapcsolódó árfolyam-különbözet is [IAS 12.78]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OCI, saját tőke</w:t>
            </w:r>
          </w:p>
        </w:tc>
        <w:tc>
          <w:tcPr>
            <w:tcW w:type="dxa" w:w="3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–</w:t>
            </w:r>
          </w:p>
        </w:tc>
        <w:tc>
          <w:tcPr>
            <w:tcW w:type="dxa" w:w="4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az OCI-tételek adója OCI-ban [61A, 62]; OCI-komponensenként közzéteendő [81 ab)]; közvetlenül a saját tőkét érintő tételek (politikaváltozás, hibajavítás, összetett instrumentum) adója a saját tőkében [62A]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Cash flow</w:t>
            </w:r>
          </w:p>
        </w:tc>
        <w:tc>
          <w:tcPr>
            <w:tcW w:type="dxa" w:w="3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céltartalék kifizetése a tartalma szerint (jellemzően működési)</w:t>
            </w:r>
          </w:p>
        </w:tc>
        <w:tc>
          <w:tcPr>
            <w:tcW w:type="dxa" w:w="4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nyereségadó kifizetése működési, kivéve, ha kifejezetten befektetési vagy finanszírozási tevékenységhez kapcsolódik [IAS 7.14 f) – 2026/338]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Közzététel</w:t>
            </w:r>
          </w:p>
        </w:tc>
        <w:tc>
          <w:tcPr>
            <w:tcW w:type="dxa" w:w="3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egyeztetés csoportonként [84]; jelleg, ütemezés, bizonytalanság, megtérítés [85]; függő kötelezettség [86]; függő követelés [89]; mentesítés [92]</w:t>
            </w:r>
          </w:p>
        </w:tc>
        <w:tc>
          <w:tcPr>
            <w:tcW w:type="dxa" w:w="4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elemek [79–80]; saját tőkét és OCI-t érintő adó [81 a), ab)]; egyeztetés [81 c)]; kulcsváltozás [81 d)]; meg nem jelenített halasztott adókövetelés [81 e)]; alátámasztás [82]; adóval kapcsolatos függő tételek IAS 37 szerint [88]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XIII. Könyvelések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400"/>
        <w:gridCol w:w="1838"/>
      </w:tblGrid>
      <w:tr>
        <w:trPr>
          <w:tblHeader/>
        </w:trP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Esemény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Tartozik</w:t>
            </w:r>
          </w:p>
        </w:tc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Követel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Megjegyzés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Jótállási céltartalék képzése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Ráfordítás (működési) 400 000</w:t>
            </w:r>
          </w:p>
        </w:tc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Céltartalék 400 000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[14, 39]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Javítás a következő évben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Céltartalék</w:t>
            </w:r>
          </w:p>
        </w:tc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Pénzeszköz, anyag, bér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felhasználás az eredeti célra [61]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Diszkontált céltartalék letekeredése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Kamatráfordítás (⟳ finanszírozási)</w:t>
            </w:r>
          </w:p>
        </w:tc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Céltartalék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[60]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Biztosítói megtérítés (gyakorlatilag biztos)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Követelés (külön eszköz)</w:t>
            </w:r>
          </w:p>
        </w:tc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Ráfordítás (nettó bemutatás lehetséges)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[53–54]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Tényleges adó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Adóráfordítás (nyereségadó-kategória)</w:t>
            </w:r>
          </w:p>
        </w:tc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Tényleges adókötelezettség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[12, 58]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adókötelezettség növekedése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adóráfordítás</w:t>
            </w:r>
          </w:p>
        </w:tc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adókötelezettség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[15, 58]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 átértékelési többletre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OCI – átértékelési többlet</w:t>
            </w:r>
          </w:p>
        </w:tc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adókötelezettség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[61A–62]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XIV. Számítás</w:t>
      </w:r>
    </w:p>
    <w:p>
      <w:pPr>
        <w:spacing w:after="100" w:line="276"/>
      </w:pPr>
      <w:r>
        <w:rPr>
          <w:rFonts w:ascii="Arial" w:cs="Arial" w:eastAsia="Arial" w:hAnsi="Arial"/>
          <w:b/>
          <w:bCs/>
        </w:rPr>
        <w:t xml:space="preserve">1. Diszkontált céltartalék.</w:t>
      </w:r>
      <w:r>
        <w:rPr>
          <w:rFonts w:ascii="Arial" w:cs="Arial" w:eastAsia="Arial" w:hAnsi="Arial"/>
        </w:rPr>
        <w:t xml:space="preserve"> Kármentesítési kötelem 3 év múlva 1 000, adózás előtti ráta 5%.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000"/>
        <w:gridCol w:w="2400"/>
        <w:gridCol w:w="4038"/>
      </w:tblGrid>
      <w:tr>
        <w:trPr>
          <w:tblHeader/>
        </w:trPr>
        <w:tc>
          <w:tcPr>
            <w:tcW w:type="dxa" w:w="1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Év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Nyitó</w:t>
            </w:r>
          </w:p>
        </w:tc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Letekeredés (5%)</w:t>
            </w:r>
          </w:p>
        </w:tc>
        <w:tc>
          <w:tcPr>
            <w:tcW w:type="dxa" w:w="4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Záró</w:t>
            </w:r>
          </w:p>
        </w:tc>
      </w:tr>
      <w:tr>
        <w:tc>
          <w:tcPr>
            <w:tcW w:type="dxa" w:w="1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Kezdet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–</w:t>
            </w:r>
          </w:p>
        </w:tc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–</w:t>
            </w:r>
          </w:p>
        </w:tc>
        <w:tc>
          <w:tcPr>
            <w:tcW w:type="dxa" w:w="4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1 000 / 1,05³ = </w:t>
            </w:r>
            <w:r>
              <w:rPr>
                <w:rFonts w:ascii="Arial" w:cs="Arial" w:eastAsia="Arial" w:hAnsi="Arial"/>
                <w:b/>
                <w:bCs/>
              </w:rPr>
              <w:t xml:space="preserve">863,84</w:t>
            </w:r>
          </w:p>
        </w:tc>
      </w:tr>
      <w:tr>
        <w:tc>
          <w:tcPr>
            <w:tcW w:type="dxa" w:w="1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1.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863,84</w:t>
            </w:r>
          </w:p>
        </w:tc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43,19</w:t>
            </w:r>
          </w:p>
        </w:tc>
        <w:tc>
          <w:tcPr>
            <w:tcW w:type="dxa" w:w="4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907,03</w:t>
            </w:r>
          </w:p>
        </w:tc>
      </w:tr>
      <w:tr>
        <w:tc>
          <w:tcPr>
            <w:tcW w:type="dxa" w:w="1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2.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907,03</w:t>
            </w:r>
          </w:p>
        </w:tc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45,35</w:t>
            </w:r>
          </w:p>
        </w:tc>
        <w:tc>
          <w:tcPr>
            <w:tcW w:type="dxa" w:w="4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952,38</w:t>
            </w:r>
          </w:p>
        </w:tc>
      </w:tr>
      <w:tr>
        <w:tc>
          <w:tcPr>
            <w:tcW w:type="dxa" w:w="1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3.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952,38</w:t>
            </w:r>
          </w:p>
        </w:tc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47,62</w:t>
            </w:r>
          </w:p>
        </w:tc>
        <w:tc>
          <w:tcPr>
            <w:tcW w:type="dxa" w:w="4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1 000,00</w:t>
            </w:r>
          </w:p>
        </w:tc>
      </w:tr>
    </w:tbl>
    <w:p>
      <w:pPr>
        <w:spacing w:after="100" w:line="276"/>
      </w:pPr>
      <w:r>
        <w:rPr>
          <w:rFonts w:ascii="Arial" w:cs="Arial" w:eastAsia="Arial" w:hAnsi="Arial"/>
          <w:b/>
          <w:bCs/>
        </w:rPr>
        <w:t xml:space="preserve">2. Halasztott és tényleges adó (saját példa, 9%-os kulcs).</w:t>
      </w:r>
      <w:r>
        <w:rPr>
          <w:rFonts w:ascii="Arial" w:cs="Arial" w:eastAsia="Arial" w:hAnsi="Arial"/>
        </w:rPr>
        <w:t xml:space="preserve"> Számviteli eredmény 10 000. Gép: számviteli écs 200, adózási écs 500 (könyv szerinti érték 800, adóalap 500). Jótállási céltartalék 400 – adózási célból csak kifizetéskor vonható le. Nem levonható bírság 100.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600"/>
        <w:gridCol w:w="2638"/>
      </w:tblGrid>
      <w:tr>
        <w:trPr>
          <w:tblHeader/>
        </w:trPr>
        <w:tc>
          <w:tcPr>
            <w:tcW w:type="dxa" w:w="3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Tétel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Számítás</w:t>
            </w:r>
          </w:p>
        </w:tc>
        <w:tc>
          <w:tcPr>
            <w:tcW w:type="dxa" w:w="26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Eredmény</w:t>
            </w:r>
          </w:p>
        </w:tc>
      </w:tr>
      <w:tr>
        <w:tc>
          <w:tcPr>
            <w:tcW w:type="dxa" w:w="3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Adóköteles nyereség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10 000 − 300 (écs-többlet) + 400 (céltartalék) + 100 (bírság)</w:t>
            </w:r>
          </w:p>
        </w:tc>
        <w:tc>
          <w:tcPr>
            <w:tcW w:type="dxa" w:w="26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10 200</w:t>
            </w:r>
          </w:p>
        </w:tc>
      </w:tr>
      <w:tr>
        <w:tc>
          <w:tcPr>
            <w:tcW w:type="dxa" w:w="3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Tényleges adó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10 200 × 9%</w:t>
            </w:r>
          </w:p>
        </w:tc>
        <w:tc>
          <w:tcPr>
            <w:tcW w:type="dxa" w:w="26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918</w:t>
            </w:r>
          </w:p>
        </w:tc>
      </w:tr>
      <w:tr>
        <w:tc>
          <w:tcPr>
            <w:tcW w:type="dxa" w:w="3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adókötelezettség (gép)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(800 − 500) × 9%</w:t>
            </w:r>
          </w:p>
        </w:tc>
        <w:tc>
          <w:tcPr>
            <w:tcW w:type="dxa" w:w="26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27 → ráfordítás</w:t>
            </w:r>
          </w:p>
        </w:tc>
      </w:tr>
      <w:tr>
        <w:tc>
          <w:tcPr>
            <w:tcW w:type="dxa" w:w="3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adókövetelés (céltartalék: könyv szerinti érték 400, adóalap 0)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400 × 9% (ha valószínű a felhasználás)</w:t>
            </w:r>
          </w:p>
        </w:tc>
        <w:tc>
          <w:tcPr>
            <w:tcW w:type="dxa" w:w="26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36 → bevétel</w:t>
            </w:r>
          </w:p>
        </w:tc>
      </w:tr>
      <w:tr>
        <w:tc>
          <w:tcPr>
            <w:tcW w:type="dxa" w:w="3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Adóráfordítás összesen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918 + 27 − 36</w:t>
            </w:r>
          </w:p>
        </w:tc>
        <w:tc>
          <w:tcPr>
            <w:tcW w:type="dxa" w:w="26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909</w:t>
            </w:r>
          </w:p>
        </w:tc>
      </w:tr>
      <w:tr>
        <w:tc>
          <w:tcPr>
            <w:tcW w:type="dxa" w:w="3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Egyeztetés [81 c) i.]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10 000 × 9% = 900 + nem levonható 100 × 9% = 9</w:t>
            </w:r>
          </w:p>
        </w:tc>
        <w:tc>
          <w:tcPr>
            <w:tcW w:type="dxa" w:w="26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909 ✓ (effektív kulcs 9,09%)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F3864" w:sz="12"/>
              <w:left w:val="single" w:color="1F3864" w:sz="12"/>
              <w:bottom w:val="single" w:color="1F3864" w:sz="12"/>
              <w:right w:val="single" w:color="1F3864" w:sz="12"/>
            </w:tcBorders>
            <w:shd w:fill="E8F1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F3864"/>
              </w:rPr>
              <w:t xml:space="preserve">Mondd el így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</w:rPr>
              <w:t xml:space="preserve">„A céltartalékot diszkontálva mutatjuk ki, ha az időérték lényeges; a letekeredés hitelfelvételi költség, 2027-től a finanszírozási kategóriában. A halasztott adónál a mérlegből indulunk: minden tételnél összevetjük a könyv szerinti értéket az adóalappal. A gépnél a könyv szerinti érték nagyobb, ez adóköteles különbözet, halasztott adókötelezettség; a céltartaléknál az adóalap nulla, ez levonható különbözet, halasztott adókövetelés, ha valószínű a jövőbeli adóköteles nyereség. A bírság állandó eltérés, halasztott adó nincs rá, de az effektív adókulcsot módosítja – ezt az egyeztetésben mutatjuk be.”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XV. Egyszerű vizsgapéldák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Per:</w:t>
      </w:r>
      <w:r>
        <w:rPr>
          <w:rFonts w:ascii="Arial" w:cs="Arial" w:eastAsia="Arial" w:hAnsi="Arial"/>
        </w:rPr>
        <w:t xml:space="preserve"> a jogász szerint 60% eséllyel elveszítjük, a legvalószínűbb kár 100 → céltartalék, legalább 100, a többi kimenetel mérlegelésével [14, 40]. Ha 30% az esély → függő kötelezettség, közzététel [86].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Szűrőberendezés beszerelését előíró jogszabály:</w:t>
      </w:r>
      <w:r>
        <w:rPr>
          <w:rFonts w:ascii="Arial" w:cs="Arial" w:eastAsia="Arial" w:hAnsi="Arial"/>
        </w:rPr>
        <w:t xml:space="preserve"> ha a gyár bezárásával elkerülhető, nincs meglévő kötelem – nincs céltartalék [19]; a jogsértés miatti bírságra már lehet [19].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Átszervezés, amelyről a fordulónapig csak az igazgatóság döntött, nem jelentették be és nem kezdték el:</w:t>
      </w:r>
      <w:r>
        <w:rPr>
          <w:rFonts w:ascii="Arial" w:cs="Arial" w:eastAsia="Arial" w:hAnsi="Arial"/>
        </w:rPr>
        <w:t xml:space="preserve"> nincs vélelmezett kötelem [72].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Kezességvállalás egy leányvállalat hiteléért:</w:t>
      </w:r>
      <w:r>
        <w:rPr>
          <w:rFonts w:ascii="Arial" w:cs="Arial" w:eastAsia="Arial" w:hAnsi="Arial"/>
        </w:rPr>
        <w:t xml:space="preserve"> IFRS 9 szerinti pénzügyi garancia – nem IAS 37 [2]; a Szt.-ben függő kötelezettség, a mellékletben [3. § (8) 14., 90. § (4) a)].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Adókulcs-emelés, amelyet a fordulónap után hirdettek ki:</w:t>
      </w:r>
      <w:r>
        <w:rPr>
          <w:rFonts w:ascii="Arial" w:cs="Arial" w:eastAsia="Arial" w:hAnsi="Arial"/>
        </w:rPr>
        <w:t xml:space="preserve"> a halasztott adót a fordulónapi (lényegében hatályba léptetett) kulccsal számoljuk; a változás nem módosító esemény, közzétenni [IAS 12.47; IAS 10.22 h)].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Lízing a lízingbevevőnél:</w:t>
      </w:r>
      <w:r>
        <w:rPr>
          <w:rFonts w:ascii="Arial" w:cs="Arial" w:eastAsia="Arial" w:hAnsi="Arial"/>
        </w:rPr>
        <w:t xml:space="preserve"> a használatijog-eszköz és a lízingkötelezettség kezdeti megjelenítése egyenlő adóköteles és levonható különbözetet okoz → 2023 óta mindkettőre halasztott adót kell kimutatni [15 b) iii., 24 c), 22A].</w:t>
      </w:r>
    </w:p>
    <w:p>
      <w:pPr>
        <w:pStyle w:val="Heading2"/>
      </w:pPr>
      <w:r>
        <w:rPr>
          <w:rFonts w:ascii="Arial" w:cs="Arial" w:eastAsia="Arial" w:hAnsi="Arial"/>
        </w:rPr>
        <w:t xml:space="preserve">XVI. Kivételek, határesetek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Az IAS 37 nem alkalmazandó az IFRS 9 hatálya alá tartozó pénzügyi instrumentumokra (a pénzügyi garanciára sem) [2] és a nem hátrányos jövőben teljesülő szerződésekre [1, 3]; más standard speciális szabálya elsőbbséget élvez (IAS 12, IFRS 16, IAS 19, IFRS 17, IFRS 3, IFRS 15) [5].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„valószínű” jelentése az IAS 37-ben „valószínűbb, mint nem” – a hivatalos szöveg lábjegyzete szerint ez más standardokra nem feltétlenül vonatkozik [23, 24. lábjegyzet].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Közterhek (pl. adó jellegű díjak): IFRIC 21 – a kötelmet keletkeztető tevékenység a mérvadó (◆ bekezdésszám).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IAS 12: az adó hatókörébe csak az adóköteles nyereség alapján számított adó tartozik, a forrásadókat is beleértve [2]. ◆ A magyar iparűzési adó, innovációs járulék és kisvállalati adó IAS 12 szerinti minősítése értelmezési kérdés – a hazai IFRS-gyakorlatban a nyereségadó jellegű kezelés gyakori, de ezt standardszöveg nem rögzíti.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bizonytalan adókezelés az IFRIC 23 hatálya alá tartozik, nem az IAS 37 alá; az adóval kapcsolatos függő tételek közzététele viszont az IAS 37 szerint [IAS 12.88].</w:t>
      </w:r>
    </w:p>
    <w:p>
      <w:pPr>
        <w:pStyle w:val="Heading2"/>
      </w:pPr>
      <w:r>
        <w:rPr>
          <w:rFonts w:ascii="Arial" w:cs="Arial" w:eastAsia="Arial" w:hAnsi="Arial"/>
        </w:rPr>
        <w:t xml:space="preserve">XVII. 2027-es IFRS-státusz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600"/>
        <w:gridCol w:w="3438"/>
      </w:tblGrid>
      <w:tr>
        <w:trPr>
          <w:tblHeader/>
        </w:trP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Szabály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2027-es kategória</w:t>
            </w:r>
          </w:p>
        </w:tc>
        <w:tc>
          <w:tcPr>
            <w:tcW w:type="dxa" w:w="3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Megjegyzés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 (a 2020-as hátrányos szerződés módosítással)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– 2027-BEN KÖTELEZŐ</w:t>
            </w:r>
          </w:p>
        </w:tc>
        <w:tc>
          <w:tcPr>
            <w:tcW w:type="dxa" w:w="3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érdemben változatlan; IFRS 18: lábjegyzet [104]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37 – célzott módosítások (IASB-tervezet, 2024. november)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 – TERVEZET</w:t>
            </w:r>
          </w:p>
        </w:tc>
        <w:tc>
          <w:tcPr>
            <w:tcW w:type="dxa" w:w="3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nem alkalmazható (◆ a 2026 végi állapotot nem láttam)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 – egyetlen ügyletből eredő halasztott adó (2021)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– kötelező (2023 óta)</w:t>
            </w:r>
          </w:p>
        </w:tc>
        <w:tc>
          <w:tcPr>
            <w:tcW w:type="dxa" w:w="3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[15 b) iii., 24 c), 22A]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 – Pillar Two kivétel (2023)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– kötelező</w:t>
            </w:r>
          </w:p>
        </w:tc>
        <w:tc>
          <w:tcPr>
            <w:tcW w:type="dxa" w:w="3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[4A, 88A–88D]; ◆ az uniós befogadó rendelet száma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 – IFRS 18 miatti módosítások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– 2027-BEN KÖTELEZŐ</w:t>
            </w:r>
          </w:p>
        </w:tc>
        <w:tc>
          <w:tcPr>
            <w:tcW w:type="dxa" w:w="3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nyereségadók kategóriája [77], [62A, 78, 81, 98N]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IFRIC 23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– kötelező (2019 óta)</w:t>
            </w:r>
          </w:p>
        </w:tc>
        <w:tc>
          <w:tcPr>
            <w:tcW w:type="dxa" w:w="34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változatlan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XVIII. Korábbi szabályok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000"/>
        <w:gridCol w:w="3238"/>
      </w:tblGrid>
      <w:tr>
        <w:trPr>
          <w:tblHeader/>
        </w:trPr>
        <w:tc>
          <w:tcPr>
            <w:tcW w:type="dxa" w:w="3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Korábbi szabály</w:t>
            </w:r>
          </w:p>
        </w:tc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Mikor változott</w:t>
            </w:r>
          </w:p>
        </w:tc>
        <w:tc>
          <w:tcPr>
            <w:tcW w:type="dxa" w:w="3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Mai szabály</w:t>
            </w:r>
          </w:p>
        </w:tc>
      </w:tr>
      <w:tr>
        <w:tc>
          <w:tcPr>
            <w:tcW w:type="dxa" w:w="3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Hátrányos szerződés: gyakorlatban sokan csak a járulékos költséggel számoltak</w:t>
            </w:r>
          </w:p>
        </w:tc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2020-as módosítás, 2022. 01. 01-től [94A, 105]</w:t>
            </w:r>
          </w:p>
        </w:tc>
        <w:tc>
          <w:tcPr>
            <w:tcW w:type="dxa" w:w="3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járulékos + közvetlenül kapcsolódó felosztott költség [68A]</w:t>
            </w:r>
          </w:p>
        </w:tc>
      </w:tr>
      <w:tr>
        <w:tc>
          <w:tcPr>
            <w:tcW w:type="dxa" w:w="3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Lízing, leszerelés: a kezdeti megjelenítési kivétel miatt nem volt halasztott adó</w:t>
            </w:r>
          </w:p>
        </w:tc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2021-es módosítás, 2023. 01. 01-től</w:t>
            </w:r>
          </w:p>
        </w:tc>
        <w:tc>
          <w:tcPr>
            <w:tcW w:type="dxa" w:w="3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 kell, ha egyenlő különbözetek keletkeznek [15 b) iii.]</w:t>
            </w:r>
          </w:p>
        </w:tc>
      </w:tr>
      <w:tr>
        <w:tc>
          <w:tcPr>
            <w:tcW w:type="dxa" w:w="3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Adóráfordítás az IAS 1 szerinti eredménykimutatásban</w:t>
            </w:r>
          </w:p>
        </w:tc>
        <w:tc>
          <w:tcPr>
            <w:tcW w:type="dxa" w:w="3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IFRS 18, 2027. 01. 01-től</w:t>
            </w:r>
          </w:p>
        </w:tc>
        <w:tc>
          <w:tcPr>
            <w:tcW w:type="dxa" w:w="3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nyereségadók kategóriája [IAS 12.77]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XIX. Ha visszakérdez a vizsgáztató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tblHeader/>
        </w:trP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Kérdés</w:t>
            </w:r>
          </w:p>
        </w:tc>
        <w:tc>
          <w:tcPr>
            <w:tcW w:type="dxa" w:w="6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Válasz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 a különbség a céltartalék és a függő kötelezettség között?</w:t>
            </w:r>
          </w:p>
        </w:tc>
        <w:tc>
          <w:tcPr>
            <w:tcW w:type="dxa" w:w="6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céltartalék meglévő kötelem, valószínű kiáramlással és megbízható becsléssel – megjelenítjük; a függő kötelezettség lehetséges kötelem, vagy olyan meglévő kötelem, amelynél a kiáramlás nem valószínű vagy nem becsülhető – csak közzétesszük [10, 13].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Mit jelent a „valószínű”?</w:t>
            </w:r>
          </w:p>
        </w:tc>
        <w:tc>
          <w:tcPr>
            <w:tcW w:type="dxa" w:w="6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Valószínűbb, mint nem [23].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Miért nincs céltartalék a jövőbeli működési veszteségre?</w:t>
            </w:r>
          </w:p>
        </w:tc>
        <w:tc>
          <w:tcPr>
            <w:tcW w:type="dxa" w:w="6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Mert nincs múltbeli eseményből eredő meglévő kötelem [63–64].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Mikor keletkezik átszervezési kötelem?</w:t>
            </w:r>
          </w:p>
        </w:tc>
        <w:tc>
          <w:tcPr>
            <w:tcW w:type="dxa" w:w="6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Részletes formális terv + a végrehajtás megkezdése vagy a főbb jellemzők bejelentése az érintetteknek [72].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Diszkontálni kell a céltartalékot? És a halasztott adót?</w:t>
            </w:r>
          </w:p>
        </w:tc>
        <w:tc>
          <w:tcPr>
            <w:tcW w:type="dxa" w:w="6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céltartalékot igen, ha lényeges [45]; a halasztott adót soha [IAS 12.53].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Mikor mutatható ki halasztott adókövetelés veszteségre?</w:t>
            </w:r>
          </w:p>
        </w:tc>
        <w:tc>
          <w:tcPr>
            <w:tcW w:type="dxa" w:w="6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 valószínű az elegendő jövőbeli adóköteles nyereség; a korábbi veszteségek erős ellenbizonyítékok, meggyőző bizonyíték kell [34–36, 82].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Hová kerül az átértékelési többlet halasztott adója?</w:t>
            </w:r>
          </w:p>
        </w:tc>
        <w:tc>
          <w:tcPr>
            <w:tcW w:type="dxa" w:w="6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Az egyéb átfogó jövedelembe [61A–62].</w:t>
            </w:r>
          </w:p>
        </w:tc>
      </w:tr>
      <w:tr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 változik 2027-ben?</w:t>
            </w:r>
          </w:p>
        </w:tc>
        <w:tc>
          <w:tcPr>
            <w:tcW w:type="dxa" w:w="6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Az adóráfordítás a nyereségadók kategóriájába kerül [IAS 12.77]; a céltartalékok diszkontjának lebontása finanszírozási kategória [IFRS 18.61 a), B53].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XX. Tipikus hibák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Céltartalék a jövőbeli működési veszteségre vagy a fenntartási költségre (magyar reflex a Szt. 41. § (2) alapján).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Függő követelés megjelenítése, mert „valószínű”.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várható elidegenítési nyereség beszámítása a céltartalékba [51].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megtérítés nettósítása a céltartalékkal a mérlegben (külön eszköz!) [53].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halasztott adó diszkontálása [53].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goodwillre halasztott adókötelezettség kezdeti kimutatása [15 a)].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Halasztott adókövetelés kimutatása a jövőbeli adóköteles nyereség valószínűségének vizsgálata nélkül [24, 34].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Az OCI-tétel adóját az eredménybe tenni [61A].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Az állandó eltérésre (bírság) halasztott adót számolni.</w:t>
      </w:r>
    </w:p>
    <w:p>
      <w:pPr>
        <w:pStyle w:val="Heading2"/>
      </w:pPr>
      <w:r>
        <w:rPr>
          <w:rFonts w:ascii="Arial" w:cs="Arial" w:eastAsia="Arial" w:hAnsi="Arial"/>
        </w:rPr>
        <w:t xml:space="preserve">XXI. Memorizálandó kulcsmondatok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„Céltartalék: meglévő kötelem + valószínű kiáramlás + megbízható becslés.”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„Függő kötelezettséget és függő követelést nem jelenítünk meg – csak közzéteszünk.”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„A céltartalék a fordulónapi legjobb becslés; sokaságnál várható érték, egyedi kötelemnél a legvalószínűbb kimenetel.”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„Átmeneti különbözet = könyv szerinti érték − adóalap.”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„A halasztott adót a lényegében hatályba léptetett kulccsal, diszkontálás nélkül számoljuk; az adó követi a tételt.”</w:t>
      </w:r>
    </w:p>
    <w:p>
      <w:pPr>
        <w:pStyle w:val="Heading2"/>
      </w:pPr>
      <w:r>
        <w:rPr>
          <w:rFonts w:ascii="Arial" w:cs="Arial" w:eastAsia="Arial" w:hAnsi="Arial"/>
        </w:rPr>
        <w:t xml:space="preserve">XXII. 1 perces végső vázlat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95959" w:sz="12"/>
              <w:left w:val="single" w:color="595959" w:sz="12"/>
              <w:bottom w:val="single" w:color="595959" w:sz="12"/>
              <w:right w:val="single" w:color="595959" w:sz="12"/>
            </w:tcBorders>
            <w:shd w:fill="F2F2F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595959"/>
              </w:rPr>
              <w:t xml:space="preserve">B – 1 perces vázlat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IAS 37:</w:t>
            </w:r>
            <w:r>
              <w:rPr>
                <w:rFonts w:ascii="Arial" w:cs="Arial" w:eastAsia="Arial" w:hAnsi="Arial"/>
              </w:rPr>
              <w:t xml:space="preserve"> fogalmak (céltartalék, jogi / vélelmezett kötelem, függő kötelezettség, függő követelés) → </w:t>
            </w:r>
            <w:r>
              <w:rPr>
                <w:rFonts w:ascii="Arial" w:cs="Arial" w:eastAsia="Arial" w:hAnsi="Arial"/>
                <w:b/>
                <w:bCs/>
              </w:rPr>
              <w:t xml:space="preserve">megjelenítés</w:t>
            </w:r>
            <w:r>
              <w:rPr>
                <w:rFonts w:ascii="Arial" w:cs="Arial" w:eastAsia="Arial" w:hAnsi="Arial"/>
              </w:rPr>
              <w:t xml:space="preserve"> (3 feltétel; „valószínűbb, mint nem”; függő tételek nem) → </w:t>
            </w:r>
            <w:r>
              <w:rPr>
                <w:rFonts w:ascii="Arial" w:cs="Arial" w:eastAsia="Arial" w:hAnsi="Arial"/>
                <w:b/>
                <w:bCs/>
              </w:rPr>
              <w:t xml:space="preserve">értékelés</w:t>
            </w:r>
            <w:r>
              <w:rPr>
                <w:rFonts w:ascii="Arial" w:cs="Arial" w:eastAsia="Arial" w:hAnsi="Arial"/>
              </w:rPr>
              <w:t xml:space="preserve"> (legjobb becslés; várható érték 400 000-es példa; legvalószínűbb kimenetel; diszkont; jövőbeli események; elidegenítés nyeresége nem; megtérítés külön) → </w:t>
            </w:r>
            <w:r>
              <w:rPr>
                <w:rFonts w:ascii="Arial" w:cs="Arial" w:eastAsia="Arial" w:hAnsi="Arial"/>
                <w:b/>
                <w:bCs/>
              </w:rPr>
              <w:t xml:space="preserve">speciális</w:t>
            </w:r>
            <w:r>
              <w:rPr>
                <w:rFonts w:ascii="Arial" w:cs="Arial" w:eastAsia="Arial" w:hAnsi="Arial"/>
              </w:rPr>
              <w:t xml:space="preserve"> (működési veszteség nem; hátrányos szerződés; átszervezés 72) → </w:t>
            </w:r>
            <w:r>
              <w:rPr>
                <w:rFonts w:ascii="Arial" w:cs="Arial" w:eastAsia="Arial" w:hAnsi="Arial"/>
                <w:b/>
                <w:bCs/>
              </w:rPr>
              <w:t xml:space="preserve">közzététel</w:t>
            </w:r>
            <w:r>
              <w:rPr>
                <w:rFonts w:ascii="Arial" w:cs="Arial" w:eastAsia="Arial" w:hAnsi="Arial"/>
              </w:rPr>
              <w:t xml:space="preserve"> [84–92] → ⟳ letekeredés finanszírozási → </w:t>
            </w:r>
            <w:r>
              <w:rPr>
                <w:rFonts w:ascii="Arial" w:cs="Arial" w:eastAsia="Arial" w:hAnsi="Arial"/>
                <w:b/>
                <w:bCs/>
              </w:rPr>
              <w:t xml:space="preserve">Szt.:</w:t>
            </w:r>
            <w:r>
              <w:rPr>
                <w:rFonts w:ascii="Arial" w:cs="Arial" w:eastAsia="Arial" w:hAnsi="Arial"/>
              </w:rPr>
              <w:t xml:space="preserve"> 41. § (1) kötelező, (2) választható jövőbeni költségre!, bruttó eredményhatás, függő kötelezettség = mérlegen kívüli tétel. </w:t>
            </w:r>
            <w:r>
              <w:rPr>
                <w:rFonts w:ascii="Arial" w:cs="Arial" w:eastAsia="Arial" w:hAnsi="Arial"/>
                <w:b/>
                <w:bCs/>
              </w:rPr>
              <w:t xml:space="preserve">IAS 12:</w:t>
            </w:r>
            <w:r>
              <w:rPr>
                <w:rFonts w:ascii="Arial" w:cs="Arial" w:eastAsia="Arial" w:hAnsi="Arial"/>
              </w:rPr>
              <w:t xml:space="preserve"> tényleges adó [12, 46] → átmeneti különbözet [5] → DTL [15] kivételekkel → DTA [24, 34] valószínűséggel → értékelés [47, 51, 53, 56] → az adó követi a tételt [58, 61A] → Pillar Two [4A] → ⟳ nyereségadók kategóriája [77] → egyeztetés [81 c)] → </w:t>
            </w:r>
            <w:r>
              <w:rPr>
                <w:rFonts w:ascii="Arial" w:cs="Arial" w:eastAsia="Arial" w:hAnsi="Arial"/>
                <w:b/>
                <w:bCs/>
              </w:rPr>
              <w:t xml:space="preserve">Szt.:</w:t>
            </w:r>
            <w:r>
              <w:rPr>
                <w:rFonts w:ascii="Arial" w:cs="Arial" w:eastAsia="Arial" w:hAnsi="Arial"/>
              </w:rPr>
              <w:t xml:space="preserve"> 45/A választható, 38. § (3) b) lekötött tartalék, 37. § (8)–(9) eredménytartalék.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Magyar párhuzam (a tétel kifejezetten kéri – mindkét témához)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A magyar oldal a Szt. 2026. 02. 28-i időállapota szerint készült, a hivatkozott §-ok a hatályos szöveg feltöltött teljes példányán ellenőrizve.</w:t>
      </w:r>
    </w:p>
    <w:p>
      <w:pPr>
        <w:pStyle w:val="Heading3"/>
      </w:pPr>
      <w:r>
        <w:rPr>
          <w:rFonts w:ascii="Arial" w:cs="Arial" w:eastAsia="Arial" w:hAnsi="Arial"/>
        </w:rPr>
        <w:t xml:space="preserve">1. Céltartalékok, függő kötelezettségek és követelések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600"/>
        <w:gridCol w:w="3500"/>
        <w:gridCol w:w="1838"/>
      </w:tblGrid>
      <w:tr>
        <w:trPr>
          <w:tblHeader/>
        </w:trP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Téma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IFRS (IAS 37)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Magyar számvitel (Szt.)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Lényeges különbség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Kötelező céltartalék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meglévő kötelem, valószínű kiáramlás, megbízható becslés [14]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az adózás előtti eredmény terhére, a szükséges mértékben kell képezni a múltbeli vagy folyamatban lévő ügyletekből, szerződésekből származó, harmadik felekkel szembeni, a mérlegfordulónapon valószínű vagy bizonyos, de összegében vagy esedékességében bizonytalan fizetési kötelezettségekre – különösen garancia, függő kötelezettség, biztos (jövőbeni) kötelezettség, korhatár előtti ellátás, végkielégítés, környezetvédelmi kötelezettség, a szerződésből várható veszteség –, ha a fedezetet más módon nem biztosította [Szt. 41. § (1)]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hasonló logika; a Szt. a „függő kötelezettséget” is említi a céltartalék-körben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Jövőbeni költségekre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tilos: nincs meglévő kötelem [IAS 37.18–19, 63]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céltartalék </w:t>
            </w:r>
            <w:r>
              <w:rPr>
                <w:rFonts w:ascii="Arial" w:cs="Arial" w:eastAsia="Arial" w:hAnsi="Arial"/>
                <w:b/>
                <w:bCs/>
              </w:rPr>
              <w:t xml:space="preserve">képezhető</w:t>
            </w:r>
            <w:r>
              <w:rPr>
                <w:rFonts w:ascii="Arial" w:cs="Arial" w:eastAsia="Arial" w:hAnsi="Arial"/>
              </w:rPr>
              <w:t xml:space="preserve"> a várható, jelentős, időszakonként ismétlődő jövőbeni költségekre (pl. fenntartás, átszervezés, környezetvédelem), ha a fordulónapon feltételezhető vagy bizonyos a felmerülésük [41. § (2)]; a szokásos, rendszeresen felmerülő költségre nem [41. § (3)]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! a Szt. választható „költség-céltartaléka” az IFRS-ben nem megengedett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Árfolyamveszteség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–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halasztott ráfordításként kimutatott nem realizált árfolyamveszteségre időarányos céltartalék [41. § (4)]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magyar sajátosság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Függő kötelezettség fogalma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lehetséges kötelem, vagy meg nem jelenített meglévő kötelem [10]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harmadik személlyel szemben vállalt, a fordulónapon fennálló kötelezettség, amelynek mérlegtételként való szerepeltetése jövőbeni eseménytől függ (kezesség, garancia, váltókezesség, opció, le nem zárt per); biztos (jövőbeni) kötelezettség: visszavonhatatlan, de még nem teljesített szerződés [3. § (8) 14–16.]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eltérő fogalom: a Szt. mérlegen kívüli tételként kezeli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Függő követelés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lehetséges követelés; közzététel, ha a beáramlás valószínű [10, 89]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fordulónapon fennálló követelés, amelynek szerepeltetése jövőbeni eseménytől függ (kapott garancia, kezesség, biztosíték) [3. § (8) 17.]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eltérő fogalom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Eredménykimutatás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képzés ráfordítás; a felhasználás a céltartalékkal szemben [61]; a feloldás a ráfordítást csökkenti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képzés egyéb ráfordítás [81. § (3) a)]; a felhasználás és a feloldás egyéb bevétel [77. § (3) a)]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Szt. bruttó: a tényleges kiadás a költségnemben, a felhasználás egyéb bevételként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Diszkontálás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 lényeges [45–47]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41. § a diszkontálásról nem rendelkezik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IFRS: jelenérték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Közzététel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egyeztetés, jelleg, bizonytalanság; függő tételek [84–92]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függő és biztos (jövőbeni) kötelezettségvállalások fajtánként [90. § (4) a)]; a lényeges mérlegen kívüli tételek és megállapodások [90. § (3) c)]; kapcsolt vállalkozással szembeni céltartalék [90. § (8)]; környezetvédelmi céltartalék [94. § (3)]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az IFRS részletesebb (egyeztetés)</w:t>
            </w:r>
          </w:p>
        </w:tc>
      </w:tr>
    </w:tbl>
    <w:p>
      <w:pPr>
        <w:pStyle w:val="Heading3"/>
      </w:pPr>
      <w:r>
        <w:rPr>
          <w:rFonts w:ascii="Arial" w:cs="Arial" w:eastAsia="Arial" w:hAnsi="Arial"/>
        </w:rPr>
        <w:t xml:space="preserve">2. Tényleges és halasztott nyereségadó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600"/>
        <w:gridCol w:w="3500"/>
        <w:gridCol w:w="1838"/>
      </w:tblGrid>
      <w:tr>
        <w:trPr>
          <w:tblHeader/>
        </w:trP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Téma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IFRS (IAS 12)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Magyar számvitel (Szt.)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Lényeges különbség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Tényleges adó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fizetendő adó a hatályba léptetett vagy lényegében hatályba léptetett kulccsal [12, 46]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adófizetési kötelezettség: társasági adó (a beszámítható külföldi adóval), kisvállalati adó, globális minimum-adószintet biztosító kiegészítő adó [87. § (2)]; a kiegészítő adó várható összege passzív időbeli elhatárolás a bevallásig [44. § (9)]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Szt. tételesen sorol (◆ a KIVA és a HIPA IAS 12 szerinti minősítése értelmezési kérdés)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Kötelező-e a halasztott adó?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igen [15, 24]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vállalkozó döntése; ha alkalmazza, a halasztott adókövetelést és -kötelezettséget is ki kell mutatnia [45/A. §]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! a Szt.-ben választható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Megközelítés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mérlegszemléletű: könyv szerinti érték − adóalap [5]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eredményszemléletű: az adózás előtti eredményben és az adóalapban eltérő időben elszámolt tételek adóhatása, a veszteségelhatárolás, az adókedvezmény, továbbá az eltérő bekerülési érték különbözete [3. § (16) 1–2.]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eltérő kiindulópont; az eredmény hasonló lehet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Adókulcs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lényegében hatályba léptetett [47]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mérlegfordulónapon kihirdetett, a realizálás évére vonatkozó kulcs [3. § (16) 4.]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„kihirdetett” vs. „lényegében hatályba léptetett”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adókövetelés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 valószínű a jövőbeli adóköteles nyereség [24, 34]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könyv szerinti érték: a számított értékből az várhatóan realizálódó összeg [3. § (16) 5.]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hasonló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Kezdeti megjelenítés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kivétel: nincs halasztott adó [15 b), 24]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az eltérő bekerülési értékből eredő halasztott adó nyitó értéke az eredménytartalékkal szemben [37. § (9)]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! eltérő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Első alkalmazás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8 szerint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nyitó érték az eredménytartalékkal szemben; megszüntetéskor is [37. § (8)]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–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Mérleg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külön sor; nettósítás feltétellel [74]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adókövetelés a befektetett eszközök, halasztott adókötelezettség a hosszú lejáratú kötelezettségek között, azonos adóhatóságnál nettó módon [45/A. §]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hasonló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Saját tőke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–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halasztott adókövetelés mérleg szerinti értékét az eredménytartalékból le kell kötni [38. § (3) b)]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! csak a Szt.-ben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Eredménykimutatás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⟳ nyereségadók kategóriája [77]; OCI-tételek adója OCI-ban [61A]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halasztott adókülönbözet: a tárgyévben keletkező halasztott adó és a már kimutatott tételek változása [87. § (2a)]; adózott eredmény = adózás előtti eredmény − adófizetési kötelezettség ± halasztott adókülönbözet [87. § (3)]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OCI a Szt.-ben nincs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Közzététel</w:t>
            </w:r>
          </w:p>
        </w:tc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elemek, egyeztetés, meg nem jelenített DTA, alátámasztás [79–82]</w:t>
            </w:r>
          </w:p>
        </w:tc>
        <w:tc>
          <w:tcPr>
            <w:tcW w:type="dxa" w:w="3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jelentős tételek jogcímenként: nyitó, keletkezett, felhasznált, változás, záró könyv szerinti és számított érték [92. § (5)]</w:t>
            </w:r>
          </w:p>
        </w:tc>
        <w:tc>
          <w:tcPr>
            <w:tcW w:type="dxa" w:w="1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az IFRS kéri az effektív adókulcs-egyeztetést</w:t>
            </w:r>
          </w:p>
        </w:tc>
      </w:tr>
    </w:tbl>
    <w:p>
      <w:pPr>
        <w:pStyle w:val="Heading3"/>
      </w:pPr>
      <w:r>
        <w:rPr>
          <w:rFonts w:ascii="Arial" w:cs="Arial" w:eastAsia="Arial" w:hAnsi="Arial"/>
        </w:rPr>
        <w:t xml:space="preserve">A XIV. 2. példa a Szt. szerint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Ha a vállalkozó </w:t>
      </w:r>
      <w:r>
        <w:rPr>
          <w:rFonts w:ascii="Arial" w:cs="Arial" w:eastAsia="Arial" w:hAnsi="Arial"/>
          <w:b/>
          <w:bCs/>
        </w:rPr>
        <w:t xml:space="preserve">nem</w:t>
      </w:r>
      <w:r>
        <w:rPr>
          <w:rFonts w:ascii="Arial" w:cs="Arial" w:eastAsia="Arial" w:hAnsi="Arial"/>
        </w:rPr>
        <w:t xml:space="preserve"> alkalmazza a halasztott adót [45/A. §]: adófizetési kötelezettség 918, adózott eredmény 10 000 − 918 = 9 082. Ha alkalmazza: halasztott adókötelezettség 27 és halasztott adókövetelés 36 – azonos adóhatóságnál nettó 9 halasztott adókövetelés a befektetett eszközök között [45/A. §]; halasztott adókülönbözet +9 [87. § (2a)]; adózott eredmény 10 000 − 918 + 9 = 9 091 (az IFRS-szel egyezően, adóráfordítás 909); a 9-es halasztott adókövetelés mérleg szerinti értékét az eredménytartalékból le kell kötni [38. § (3) b)].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F3864" w:sz="12"/>
              <w:left w:val="single" w:color="1F3864" w:sz="12"/>
              <w:bottom w:val="single" w:color="1F3864" w:sz="12"/>
              <w:right w:val="single" w:color="1F3864" w:sz="12"/>
            </w:tcBorders>
            <w:shd w:fill="E8F1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F3864"/>
              </w:rPr>
              <w:t xml:space="preserve">Mondd el így – magyar párhuzam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</w:rPr>
              <w:t xml:space="preserve">„A céltartalékoknál a Szt. is kötelező céltartalékot ír elő a harmadik felekkel szembeni, valószínű vagy bizonyos, de bizonytalan összegű kötelezettségekre, de az IFRS-szel ellentétben választható céltartalékot is enged a jelentős, időszakonként ismétlődő jövőbeni költségekre, például fenntartásra vagy átszervezésre. A függő kötelezettség a Szt.-ben mérlegen kívüli tétel – kezesség, garancia, per –, amelyet a kiegészítő mellékletben mutatunk be; az eredményhatás bruttó: a képzés egyéb ráfordítás, a felhasználás egyéb bevétel. A nyereségadónál a Szt.-ben a halasztott adó 2024 óta választható, eredményszemléletű fogalmakkal, a fordulónapon kihirdetett kulccsal; a kezdeti bekerülési különbözet és az első alkalmazás az eredménytartalékot érinti, és a halasztott adókövetelést lekötött tartalékba kell helyezni.”</w:t>
            </w:r>
          </w:p>
        </w:tc>
      </w:tr>
    </w:tbl>
    <w:p>
      <w:pPr>
        <w:pStyle w:val="Heading1"/>
        <w:pageBreakBefore/>
      </w:pPr>
      <w:r>
        <w:rPr>
          <w:rFonts w:ascii="Arial" w:cs="Arial" w:eastAsia="Arial" w:hAnsi="Arial"/>
        </w:rPr>
        <w:t xml:space="preserve">C. A munkavállalói juttatások csoportjai és kezelésük (IAS 19)</w:t>
      </w:r>
    </w:p>
    <w:p>
      <w:pPr>
        <w:pStyle w:val="Heading2"/>
      </w:pPr>
      <w:r>
        <w:rPr>
          <w:rFonts w:ascii="Arial" w:cs="Arial" w:eastAsia="Arial" w:hAnsi="Arial"/>
        </w:rPr>
        <w:t xml:space="preserve">1. Lényeg 1–2 mondatban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Az IAS 19 a munkavállalói juttatásokat négy csoportra bontja: rövid távú juttatások, a munkaviszony megszűnése utáni juttatások (meghatározott hozzájárulási és meghatározott juttatási programok), egyéb hosszú távú juttatások és végkielégítések [5]. Az alapelv: a költséget abban az időszakban kell elszámolni, amelyben a munkavállaló a szolgálatot nyújtja, a végkielégítést pedig akkor, amikor a gazdálkodó egység már nem vonhatja vissza az ajánlatot [1, 165].</w:t>
      </w:r>
    </w:p>
    <w:p>
      <w:pPr>
        <w:pStyle w:val="Heading2"/>
      </w:pPr>
      <w:r>
        <w:rPr>
          <w:rFonts w:ascii="Arial" w:cs="Arial" w:eastAsia="Arial" w:hAnsi="Arial"/>
        </w:rPr>
        <w:t xml:space="preserve">2. Definíció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Hivatalos HU szöveg (IAS 19.8)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„Munkavállalói juttatás egy gazdálkodó egység által a munkavállalók által nyújtott szolgálatért vagy a munkaviszony megszüntetéséért cserébe adott ellenérték minden formája.”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Rövid távú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„olyan (a végkielégítéstől eltérő) munkavállalói juttatások, amelyeket várhatóan teljes egészében rendeznek azon éves beszámolási időszak végét követő tizenkét hónap eltelte előtt, amely alatt a munkavállalók a kapcsolódó szolgálatot nyújtják” [8]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Munkaviszony megszűnése utáni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„olyan (a végkielégítéstől és a rövid távú munkavállalói juttatásoktól eltérő) munkavállalói juttatások, amelyek a munkaviszony befejezése után fizetendők” [8]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Egyéb hosszú távú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„a rövid távú munkavállalói juttatásoktól, a munkaviszony megszűnése utáni juttatásoktól és a végkielégítésektől eltérő munkavállalói juttatások” [8] – maradék kategória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Végkielégítés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munkaviszony megszüntetéséért cserébe nyújtott juttatás, ha a munkáltató dönt a megszüntetésről, vagy a munkavállaló elfogad egy megszüntetési ajánlatot [8]; nem az, amit a munkavállaló saját kérésére, munkáltatói ajánlat nélkül, vagy kötelező nyugdíjazás miatt kap [160]</w:t>
            </w:r>
          </w:p>
        </w:tc>
      </w:tr>
      <w:tr>
        <w:tc>
          <w:tcPr>
            <w:tcW w:type="dxa" w:w="2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Hatókör</w:t>
            </w:r>
          </w:p>
        </w:tc>
        <w:tc>
          <w:tcPr>
            <w:tcW w:type="dxa" w:w="70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minden munkavállalói juttatás, kivéve az IFRS 2 hatálya alá tartozó részvényalapú kifizetést [2]; formális program, jogszabály, ágazati megállapodás vagy informális gyakorlat (vélelmezett kötelem) alapján [4]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3. IFRS-logika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A szolgálat a kötelmet keletkeztető esemény:</w:t>
      </w:r>
      <w:r>
        <w:rPr>
          <w:rFonts w:ascii="Arial" w:cs="Arial" w:eastAsia="Arial" w:hAnsi="Arial"/>
        </w:rPr>
        <w:t xml:space="preserve"> a juttatás költsége akkor merül fel, amikor a munkavállaló megszolgálja – nem akkor, amikor kifizetik [1]. A végkielégítésnél a kötelmet a megszüntetés keletkezteti, nem a szolgálat [159].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Minél távolabbi a kifizetés, annál bonyolultabb az értékelés:</w:t>
      </w:r>
      <w:r>
        <w:rPr>
          <w:rFonts w:ascii="Arial" w:cs="Arial" w:eastAsia="Arial" w:hAnsi="Arial"/>
        </w:rPr>
        <w:t xml:space="preserve"> rövid távú → diszkontálás nélkül [11]; hozzájárulási program → a hozzájárulás összege [51]; juttatási program → aktuáriusi értékelés, kivetített jóváírási egység módszer, diszkontálás [57, 67, 83].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A kockázat hordozója dönt:</w:t>
      </w:r>
      <w:r>
        <w:rPr>
          <w:rFonts w:ascii="Arial" w:cs="Arial" w:eastAsia="Arial" w:hAnsi="Arial"/>
        </w:rPr>
        <w:t xml:space="preserve"> meghatározott hozzájárulási programnál az aktuáriusi és a befektetési kockázatot a munkavállaló viseli [28]; meghatározott juttatási programnál a gazdálkodó egység [30].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Ingadozáskezelés:</w:t>
      </w:r>
      <w:r>
        <w:rPr>
          <w:rFonts w:ascii="Arial" w:cs="Arial" w:eastAsia="Arial" w:hAnsi="Arial"/>
        </w:rPr>
        <w:t xml:space="preserve"> a meghatározott juttatási programnál az újraértékelések az egyéb átfogó jövedelembe kerülnek és onnan nem forgathatók vissza [120 c), 122]; az egyéb hosszú távú juttatásnál minden az eredménybe megy [156].</w:t>
      </w:r>
    </w:p>
    <w:p>
      <w:pPr>
        <w:pStyle w:val="Heading2"/>
      </w:pPr>
      <w:r>
        <w:rPr>
          <w:rFonts w:ascii="Arial" w:cs="Arial" w:eastAsia="Arial" w:hAnsi="Arial"/>
        </w:rPr>
        <w:t xml:space="preserve">4. Lépések – az egyes csoportok kezelése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000"/>
        <w:gridCol w:w="2300"/>
        <w:gridCol w:w="2100"/>
        <w:gridCol w:w="1538"/>
      </w:tblGrid>
      <w:tr>
        <w:trPr>
          <w:tblHeader/>
        </w:trP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Csoport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Példák [5]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Megjelenítés</w:t>
            </w:r>
          </w:p>
        </w:tc>
        <w:tc>
          <w:tcPr>
            <w:tcW w:type="dxa" w:w="21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Értékelés</w:t>
            </w:r>
          </w:p>
        </w:tc>
        <w:tc>
          <w:tcPr>
            <w:tcW w:type="dxa" w:w="15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Eredmény / OCI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1. Rövid távú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bér, járulék; fizetett szabadság, betegszabadság; nyereségrészesedés, jutalom (12 hónapon belül); nem pénzbeli juttatás (egészségügyi ellátás, lakás, autó)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szolgálat nyújtásakor kötelezettség és ráfordítás [11]; halmozódó fizetett távollét: amikor a jogosultság nő; nem halmozódó: amikor a távollétre sor kerül [13]; nyereségrészesedés, jutalom: ha van jogi vagy vélelmezett kötelem és megbízható becslés [19]</w:t>
            </w:r>
          </w:p>
        </w:tc>
        <w:tc>
          <w:tcPr>
            <w:tcW w:type="dxa" w:w="21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diszkontálás nélkül</w:t>
            </w:r>
            <w:r>
              <w:rPr>
                <w:rFonts w:ascii="Arial" w:cs="Arial" w:eastAsia="Arial" w:hAnsi="Arial"/>
              </w:rPr>
              <w:t xml:space="preserve"> [11]; halmozódó távollét: a várhatóan pluszban kifizetendő összeg [16]</w:t>
            </w:r>
          </w:p>
        </w:tc>
        <w:tc>
          <w:tcPr>
            <w:tcW w:type="dxa" w:w="15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eredmény (vagy eszköz bekerülési értéke, pl. IAS 2, IAS 16) [11, 121]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2/a. Munkaviszony megszűnése utáni – meghatározott hozzájárulási program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gazdálkodó egység fix hozzájárulást fizet egy alapba, nincs további kötelme [8, 28]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szolgálat időszakában a fizetendő hozzájárulás; a meg nem fizetett rész kötelezettség, a többletfizetés eszköz [51]</w:t>
            </w:r>
          </w:p>
        </w:tc>
        <w:tc>
          <w:tcPr>
            <w:tcW w:type="dxa" w:w="21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diszkontálás csak akkor, ha nem 12 hónapon belül rendezik [52]</w:t>
            </w:r>
          </w:p>
        </w:tc>
        <w:tc>
          <w:tcPr>
            <w:tcW w:type="dxa" w:w="15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eredmény [51]; közzététel: ráfordítás [53]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2/b. Munkaviszony megszűnése utáni – meghatározott juttatási program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nyugdíj, egyösszegű nyugdíjazáskori kifizetés, nyugdíjas-egészségügyi ellátás, ha a gazdálkodó egység a juttatást garantálja [26, 30]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nettó meghatározott juttatási kötelezettség (eszköz) a mérlegben [63]</w:t>
            </w:r>
          </w:p>
        </w:tc>
        <w:tc>
          <w:tcPr>
            <w:tcW w:type="dxa" w:w="21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kötelem jelenértéke – kivetített jóváírási egység módszer [67], diszkontráta: jó minőségű vállalati kötvények fordulónapi hozama [83] – mínusz programeszközök valós értéke [113]; többletnél az eszközértékhatár [64]</w:t>
            </w:r>
          </w:p>
        </w:tc>
        <w:tc>
          <w:tcPr>
            <w:tcW w:type="dxa" w:w="15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szolgálat költsége (tárgyidőszaki, múltbeli, rendezés) és nettó kamat → eredmény; újraértékelés → OCI, nem forgatható vissza [120, 122]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3. Egyéb hosszú távú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jubileumi jutalom, jutalomszabadság, alkotószabadság, hosszú munkaképtelenségi ellátás, 12 hónapon túl fizetett nyereségrészesedés [5 c), 153]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meghatározott juttatási programhoz hasonlóan [155]</w:t>
            </w:r>
          </w:p>
        </w:tc>
        <w:tc>
          <w:tcPr>
            <w:tcW w:type="dxa" w:w="21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ugyanaz az aktuáriusi módszer [155]</w:t>
            </w:r>
          </w:p>
        </w:tc>
        <w:tc>
          <w:tcPr>
            <w:tcW w:type="dxa" w:w="15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minden</w:t>
            </w:r>
            <w:r>
              <w:rPr>
                <w:rFonts w:ascii="Arial" w:cs="Arial" w:eastAsia="Arial" w:hAnsi="Arial"/>
              </w:rPr>
              <w:t xml:space="preserve"> komponens – az újraértékelés is – az eredménybe [156]</w:t>
            </w:r>
          </w:p>
        </w:tc>
      </w:tr>
      <w:tr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4. Végkielégítés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munkáltató döntésén vagy elfogadott önkéntes távozási ajánlaton alapuló juttatás [8, 159–160]</w:t>
            </w:r>
          </w:p>
        </w:tc>
        <w:tc>
          <w:tcPr>
            <w:tcW w:type="dxa" w:w="23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korábbi időpontban: amikor az ajánlat már nem vonható vissza, vagy amikor az IAS 37 szerinti átszervezési költséget megjelenítik [165]</w:t>
            </w:r>
          </w:p>
        </w:tc>
        <w:tc>
          <w:tcPr>
            <w:tcW w:type="dxa" w:w="21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juttatás jellege szerint: 12 hónapon belüli rendezésnél a rövid távú, egyébként az egyéb hosszú távú szabályok szerint [169]</w:t>
            </w:r>
          </w:p>
        </w:tc>
        <w:tc>
          <w:tcPr>
            <w:tcW w:type="dxa" w:w="15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eredmény</w:t>
            </w:r>
          </w:p>
        </w:tc>
      </w:tr>
    </w:tbl>
    <w:p>
      <w:pPr>
        <w:pStyle w:val="Heading3"/>
      </w:pPr>
      <w:r>
        <w:rPr>
          <w:rFonts w:ascii="Arial" w:cs="Arial" w:eastAsia="Arial" w:hAnsi="Arial"/>
        </w:rPr>
        <w:t xml:space="preserve">Kiegészítő szabályok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Besorolási határesetek:</w:t>
      </w:r>
      <w:r>
        <w:rPr>
          <w:rFonts w:ascii="Arial" w:cs="Arial" w:eastAsia="Arial" w:hAnsi="Arial"/>
        </w:rPr>
        <w:t xml:space="preserve"> a többmunkáltatós program a tartalma szerint hozzájárulási vagy juttatási [32]; ha nincs elég információ, hozzájárulásiként kezelendő, és ezt közzé kell tenni [34]; az állami program a többmunkáltatós programmal azonos módon [43]; a biztosítási díjjal finanszírozott program hozzájárulási, ha nincs további kötelem [46].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Múltbeli szolgálat költsége</w:t>
      </w:r>
      <w:r>
        <w:rPr>
          <w:rFonts w:ascii="Arial" w:cs="Arial" w:eastAsia="Arial" w:hAnsi="Arial"/>
        </w:rPr>
        <w:t xml:space="preserve"> (programmódosítás, megszorítás): a korábbi időpontban kerül az eredménybe – a módosításkor vagy a kapcsolódó átszervezési költség, illetve végkielégítés megjelenítésekor [102–103].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Rendezés:</w:t>
      </w:r>
      <w:r>
        <w:rPr>
          <w:rFonts w:ascii="Arial" w:cs="Arial" w:eastAsia="Arial" w:hAnsi="Arial"/>
        </w:rPr>
        <w:t xml:space="preserve"> a rendezésen elért nyereség vagy veszteség = a rendezett kötelem jelenértéke − a rendezési ár [109]; eredmény.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Visszatérítési jog</w:t>
      </w:r>
      <w:r>
        <w:rPr>
          <w:rFonts w:ascii="Arial" w:cs="Arial" w:eastAsia="Arial" w:hAnsi="Arial"/>
        </w:rPr>
        <w:t xml:space="preserve"> (pl. biztosító): csak lényegileg biztos esetben, külön eszközként [116].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Közzététel:</w:t>
      </w:r>
      <w:r>
        <w:rPr>
          <w:rFonts w:ascii="Arial" w:cs="Arial" w:eastAsia="Arial" w:hAnsi="Arial"/>
        </w:rPr>
        <w:t xml:space="preserve"> a juttatási programok jellemzői és kockázatai, a kimutatott összegek magyarázata, a jövőbeli pénzáramok bizonytalansága [135]; egyeztetés a nyitó és záró egyenleg között [140–141]. ⟳ A rövid távú, egyéb hosszú távú és végkielégítési juttatásokra az IAS 19 maga nem ír elő közzétételt, de az IFRS 18 előírja a munkavállalói juttatások költségeinek közzétételét [IAS 19.25, 158, 171 – 2026/338; IFRS 18.83 a) iii.].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⟳ Bemutatás 2027-től:</w:t>
      </w:r>
      <w:r>
        <w:rPr>
          <w:rFonts w:ascii="Arial" w:cs="Arial" w:eastAsia="Arial" w:hAnsi="Arial"/>
        </w:rPr>
        <w:t xml:space="preserve"> az IAS 19 nem határozza meg, hogyan mutatandó be a szolgálat költsége és a nettó kamat – ezeket az IFRS 18 szerint kell bemutatni [IAS 19.134 – 2026/338]; a nyugdíjból eredő meghatározott juttatási kötelezettség nem kizárólag forrásbevonásból ered, ezért a nettó kamatráfordítás a finanszírozási kategóriába kerül, a szolgálat költsége a működésibe [IFRS 18.59 b), 61 a), B53 d)].</w:t>
      </w:r>
    </w:p>
    <w:p>
      <w:pPr>
        <w:pStyle w:val="Heading2"/>
      </w:pPr>
      <w:r>
        <w:rPr>
          <w:rFonts w:ascii="Arial" w:cs="Arial" w:eastAsia="Arial" w:hAnsi="Arial"/>
        </w:rPr>
        <w:t xml:space="preserve">5. Képlet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55A11" w:sz="12"/>
              <w:left w:val="single" w:color="C55A11" w:sz="12"/>
              <w:bottom w:val="single" w:color="C55A11" w:sz="12"/>
              <w:right w:val="single" w:color="C55A11" w:sz="12"/>
            </w:tcBorders>
            <w:shd w:fill="FFF4E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C55A11"/>
              </w:rPr>
              <w:t xml:space="preserve">Meghatározott juttatási program – a nettó kötelezettség mozgása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Nettó kötelezettség (eszköz)</w:t>
            </w:r>
            <w:r>
              <w:rPr>
                <w:rFonts w:ascii="Arial" w:cs="Arial" w:eastAsia="Arial" w:hAnsi="Arial"/>
              </w:rPr>
              <w:t xml:space="preserve"> = a kötelem jelenértéke − a programeszközök valós értéke (többletnél legfeljebb az eszközértékhatár) [57, 64].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Eredmény</w:t>
            </w:r>
            <w:r>
              <w:rPr>
                <w:rFonts w:ascii="Arial" w:cs="Arial" w:eastAsia="Arial" w:hAnsi="Arial"/>
              </w:rPr>
              <w:t xml:space="preserve"> = tárgyidőszaki szolgálat költsége + múltbeli szolgálat költsége ± rendezés + </w:t>
            </w:r>
            <w:r>
              <w:rPr>
                <w:rFonts w:ascii="Arial" w:cs="Arial" w:eastAsia="Arial" w:hAnsi="Arial"/>
                <w:b/>
                <w:bCs/>
              </w:rPr>
              <w:t xml:space="preserve">nettó kamat</w:t>
            </w:r>
            <w:r>
              <w:rPr>
                <w:rFonts w:ascii="Arial" w:cs="Arial" w:eastAsia="Arial" w:hAnsi="Arial"/>
              </w:rPr>
              <w:t xml:space="preserve"> (nyitó nettó kötelezettség × diszkontráta [123]).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OCI (újraértékelés)</w:t>
            </w:r>
            <w:r>
              <w:rPr>
                <w:rFonts w:ascii="Arial" w:cs="Arial" w:eastAsia="Arial" w:hAnsi="Arial"/>
              </w:rPr>
              <w:t xml:space="preserve"> = aktuáriusi nyereség/veszteség + a programeszközök hozamának a kamatbevételt meghaladó része + az eszközértékhatár hatásának változása [127].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  <w:b/>
                <w:bCs/>
              </w:rPr>
              <w:t xml:space="preserve">Záró nettó kötelezettség</w:t>
            </w:r>
            <w:r>
              <w:rPr>
                <w:rFonts w:ascii="Arial" w:cs="Arial" w:eastAsia="Arial" w:hAnsi="Arial"/>
              </w:rPr>
              <w:t xml:space="preserve"> = nyitó + eredmény + OCI − munkáltatói befizetés (− közvetlenül a munkáltató által fizetett juttatás).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6–7. Példa és könyvelés</w:t>
      </w:r>
    </w:p>
    <w:p>
      <w:pPr>
        <w:spacing w:after="100" w:line="276"/>
      </w:pPr>
      <w:r>
        <w:rPr>
          <w:rFonts w:ascii="Arial" w:cs="Arial" w:eastAsia="Arial" w:hAnsi="Arial"/>
          <w:b/>
          <w:bCs/>
        </w:rPr>
        <w:t xml:space="preserve">6/a. Meghatározott juttatási program (saját példa).</w:t>
      </w:r>
      <w:r>
        <w:rPr>
          <w:rFonts w:ascii="Arial" w:cs="Arial" w:eastAsia="Arial" w:hAnsi="Arial"/>
        </w:rPr>
        <w:t xml:space="preserve"> Nyitó kötelem 1 000, programeszközök 800 → nettó kötelezettség 200. Diszkontráta 5%. Tárgyidőszaki szolgálat költsége 100; munkáltatói befizetés 120; a program kifizetett 50 juttatást. Záró kötelem az aktuárius szerint 1 150, a programeszközök záró valós értéke 900.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700"/>
        <w:gridCol w:w="2000"/>
        <w:gridCol w:w="1800"/>
        <w:gridCol w:w="1738"/>
      </w:tblGrid>
      <w:tr>
        <w:trPr>
          <w:tblHeader/>
        </w:trPr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Tétel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Kötelem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Programeszközök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Nettó kötelezettség</w:t>
            </w:r>
          </w:p>
        </w:tc>
        <w:tc>
          <w:tcPr>
            <w:tcW w:type="dxa" w:w="17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Hová</w:t>
            </w:r>
          </w:p>
        </w:tc>
      </w:tr>
      <w:tr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Nyitó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1 000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800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200</w:t>
            </w:r>
          </w:p>
        </w:tc>
        <w:tc>
          <w:tcPr>
            <w:tcW w:type="dxa" w:w="17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–</w:t>
            </w:r>
          </w:p>
        </w:tc>
      </w:tr>
      <w:tr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Szolgálat költsége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+100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–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+100</w:t>
            </w:r>
          </w:p>
        </w:tc>
        <w:tc>
          <w:tcPr>
            <w:tcW w:type="dxa" w:w="17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P&amp;L (⟳ működési)</w:t>
            </w:r>
          </w:p>
        </w:tc>
      </w:tr>
      <w:tr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Kamat / kamatbevétel (5%)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+50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+40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+10 (nettó kamat)</w:t>
            </w:r>
          </w:p>
        </w:tc>
        <w:tc>
          <w:tcPr>
            <w:tcW w:type="dxa" w:w="17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P&amp;L (⟳ finanszírozási)</w:t>
            </w:r>
          </w:p>
        </w:tc>
      </w:tr>
      <w:tr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Munkáltatói befizetés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–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+120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−120</w:t>
            </w:r>
          </w:p>
        </w:tc>
        <w:tc>
          <w:tcPr>
            <w:tcW w:type="dxa" w:w="17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pénzmozgás</w:t>
            </w:r>
          </w:p>
        </w:tc>
      </w:tr>
      <w:tr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Kifizetett juttatás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−50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−50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0</w:t>
            </w:r>
          </w:p>
        </w:tc>
        <w:tc>
          <w:tcPr>
            <w:tcW w:type="dxa" w:w="17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–</w:t>
            </w:r>
          </w:p>
        </w:tc>
      </w:tr>
      <w:tr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Várt záró érték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1 100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910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190</w:t>
            </w:r>
          </w:p>
        </w:tc>
        <w:tc>
          <w:tcPr>
            <w:tcW w:type="dxa" w:w="17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–</w:t>
            </w:r>
          </w:p>
        </w:tc>
      </w:tr>
      <w:tr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Újraértékelés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+50 (aktuáriusi veszteség)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−10 (hozam a kamatbevétel alatt)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+60</w:t>
            </w:r>
          </w:p>
        </w:tc>
        <w:tc>
          <w:tcPr>
            <w:tcW w:type="dxa" w:w="17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OCI – nem forgatható vissza [122]</w:t>
            </w:r>
          </w:p>
        </w:tc>
      </w:tr>
      <w:tr>
        <w:tc>
          <w:tcPr>
            <w:tcW w:type="dxa" w:w="24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Záró</w:t>
            </w:r>
          </w:p>
        </w:tc>
        <w:tc>
          <w:tcPr>
            <w:tcW w:type="dxa" w:w="17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1 150</w:t>
            </w:r>
          </w:p>
        </w:tc>
        <w:tc>
          <w:tcPr>
            <w:tcW w:type="dxa" w:w="20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900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</w:rPr>
              <w:t xml:space="preserve">250</w:t>
            </w:r>
          </w:p>
        </w:tc>
        <w:tc>
          <w:tcPr>
            <w:tcW w:type="dxa" w:w="17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–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600"/>
        <w:gridCol w:w="3238"/>
      </w:tblGrid>
      <w:tr>
        <w:trPr>
          <w:tblHeader/>
        </w:trP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Könyvelés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Tartozik</w:t>
            </w:r>
          </w:p>
        </w:tc>
        <w:tc>
          <w:tcPr>
            <w:tcW w:type="dxa" w:w="3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Követel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Szolgálat költsége és nettó kamat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Munkavállalói juttatás ráfordítás 100; Kamatráfordítás 10</w:t>
            </w:r>
          </w:p>
        </w:tc>
        <w:tc>
          <w:tcPr>
            <w:tcW w:type="dxa" w:w="3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Nettó meghatározott juttatási kötelezettség 110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Újraértékelés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OCI – újraértékelés 60</w:t>
            </w:r>
          </w:p>
        </w:tc>
        <w:tc>
          <w:tcPr>
            <w:tcW w:type="dxa" w:w="3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Nettó meghatározott juttatási kötelezettség 60</w:t>
            </w:r>
          </w:p>
        </w:tc>
      </w:tr>
      <w:tr>
        <w:tc>
          <w:tcPr>
            <w:tcW w:type="dxa" w:w="2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Befizetés a programba</w:t>
            </w:r>
          </w:p>
        </w:tc>
        <w:tc>
          <w:tcPr>
            <w:tcW w:type="dxa" w:w="36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Nettó meghatározott juttatási kötelezettség 120</w:t>
            </w:r>
          </w:p>
        </w:tc>
        <w:tc>
          <w:tcPr>
            <w:tcW w:type="dxa" w:w="32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Pénzeszközök 120</w:t>
            </w:r>
          </w:p>
        </w:tc>
      </w:tr>
    </w:tbl>
    <w:p>
      <w:pPr>
        <w:spacing w:after="100" w:line="276"/>
      </w:pPr>
      <w:r>
        <w:rPr>
          <w:rFonts w:ascii="Arial" w:cs="Arial" w:eastAsia="Arial" w:hAnsi="Arial"/>
          <w:b/>
          <w:bCs/>
        </w:rPr>
        <w:t xml:space="preserve">6/b. Rövid távú – halmozódó betegszabadság (a hivatalos szöveg szemléltető példája).</w:t>
      </w:r>
      <w:r>
        <w:rPr>
          <w:rFonts w:ascii="Arial" w:cs="Arial" w:eastAsia="Arial" w:hAnsi="Arial"/>
        </w:rPr>
        <w:t xml:space="preserve"> 100 munkavállaló, évi 5 nap fizetett betegszabadság, a fel nem használt rész egy évre átvihető, a felhasználás először a tárgyévi keretből történik. 20X1 végén átlagosan 2 nap fel nem használt jogosultság; 92 munkavállaló várhatóan legfeljebb 5 napot vesz igénybe, 8 munkavállaló átlag 6,5 napot → a gazdálkodó egység </w:t>
      </w:r>
      <w:r>
        <w:rPr>
          <w:rFonts w:ascii="Arial" w:cs="Arial" w:eastAsia="Arial" w:hAnsi="Arial"/>
          <w:b/>
          <w:bCs/>
        </w:rPr>
        <w:t xml:space="preserve">12 napi</w:t>
      </w:r>
      <w:r>
        <w:rPr>
          <w:rFonts w:ascii="Arial" w:cs="Arial" w:eastAsia="Arial" w:hAnsi="Arial"/>
        </w:rPr>
        <w:t xml:space="preserve"> táppénznek megfelelő kötelezettséget jelenít meg (8 × 1,5 nap) [IAS 19.17, szemléltető példa].</w:t>
      </w:r>
    </w:p>
    <w:p>
      <w:pPr>
        <w:spacing w:after="100" w:line="276"/>
      </w:pPr>
      <w:r>
        <w:rPr>
          <w:rFonts w:ascii="Arial" w:cs="Arial" w:eastAsia="Arial" w:hAnsi="Arial"/>
          <w:b/>
          <w:bCs/>
        </w:rPr>
        <w:t xml:space="preserve">6/c. Egyéb hosszú távú – jubileumi jutalom:</w:t>
      </w:r>
      <w:r>
        <w:rPr>
          <w:rFonts w:ascii="Arial" w:cs="Arial" w:eastAsia="Arial" w:hAnsi="Arial"/>
        </w:rPr>
        <w:t xml:space="preserve"> ugyanúgy aktuáriusi módszerrel értékeljük, de a diszkontráta változásából eredő 15-ös aktuáriusi veszteség is az </w:t>
      </w:r>
      <w:r>
        <w:rPr>
          <w:rFonts w:ascii="Arial" w:cs="Arial" w:eastAsia="Arial" w:hAnsi="Arial"/>
          <w:b/>
          <w:bCs/>
        </w:rPr>
        <w:t xml:space="preserve">eredménybe</w:t>
      </w:r>
      <w:r>
        <w:rPr>
          <w:rFonts w:ascii="Arial" w:cs="Arial" w:eastAsia="Arial" w:hAnsi="Arial"/>
        </w:rPr>
        <w:t xml:space="preserve"> kerül [156] – szemben a nyugdíjprogrammal, ahol OCI lenne.</w:t>
      </w:r>
    </w:p>
    <w:p>
      <w:pPr>
        <w:spacing w:after="100" w:line="276"/>
      </w:pPr>
      <w:r>
        <w:rPr>
          <w:rFonts w:ascii="Arial" w:cs="Arial" w:eastAsia="Arial" w:hAnsi="Arial"/>
          <w:b/>
          <w:bCs/>
        </w:rPr>
        <w:t xml:space="preserve">6/d. Végkielégítés:</w:t>
      </w:r>
      <w:r>
        <w:rPr>
          <w:rFonts w:ascii="Arial" w:cs="Arial" w:eastAsia="Arial" w:hAnsi="Arial"/>
        </w:rPr>
        <w:t xml:space="preserve"> a gazdálkodó egység december 10-én közli az érintett munkavállalókkal a létszámleépítési tervet (név szerinti kör, juttatás) → ettől kezdve az ajánlat nem vonható vissza, december 31-én kötelezettség és ráfordítás [165, 167]; ha a leépítés IAS 37 szerinti átszervezés része, legkésőbb az átszervezési céltartalékkal együtt [165 b)].</w:t>
      </w:r>
    </w:p>
    <w:p>
      <w:pPr>
        <w:pStyle w:val="Heading2"/>
      </w:pPr>
      <w:r>
        <w:rPr>
          <w:rFonts w:ascii="Arial" w:cs="Arial" w:eastAsia="Arial" w:hAnsi="Arial"/>
        </w:rPr>
        <w:t xml:space="preserve">8. Tipikus hiba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rövid távú juttatást diszkontálni [11].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nem halmozódó betegszabadságra előre kötelezettséget képezni [13 b)].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meghatározott juttatási program újraértékelését az eredménybe tenni – vagy később visszaforgatni [120 c), 122].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jubileumi jutalom aktuáriusi veszteségét az OCI-ba tenni – az egyéb hosszú távú juttatásnál minden az eredménybe kerül [156].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végkielégítést a szolgálati idő alatt elhatárolni – a kötelmet a megszüntetés keletkezteti [159, 165].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diszkontrátát a programeszközök várt hozamából képezni – a jó minőségű vállalati kötvények hozama kell [83].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nettó kamatot a kötelem és az eszközök várt hozamának különbségeként számolni – a nettó kötelezettségre alkalmazott diszkontráta [123].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hozzájárulási és juttatási programot a forma, nem a kockázatviselés alapján elhatárolni [27–30].</w:t>
      </w:r>
    </w:p>
    <w:p>
      <w:pPr>
        <w:pStyle w:val="Heading2"/>
      </w:pPr>
      <w:r>
        <w:rPr>
          <w:rFonts w:ascii="Arial" w:cs="Arial" w:eastAsia="Arial" w:hAnsi="Arial"/>
        </w:rPr>
        <w:t xml:space="preserve">9. 30–60 másodperces válasz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F3864" w:sz="12"/>
              <w:left w:val="single" w:color="1F3864" w:sz="12"/>
              <w:bottom w:val="single" w:color="1F3864" w:sz="12"/>
              <w:right w:val="single" w:color="1F3864" w:sz="12"/>
            </w:tcBorders>
            <w:shd w:fill="E8F1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F3864"/>
              </w:rPr>
              <w:t xml:space="preserve">Mondd el így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</w:rPr>
              <w:t xml:space="preserve">„Az IAS 19 négy csoportot különböztet meg. A rövid távú juttatásokat – bér, szabadság, 12 hónapon belül fizetendő jutalom, nem pénzbeli juttatás – a szolgálat időszakában, diszkontálás nélkül számoljuk el. A munkaviszony megszűnése utáni juttatásoknál a meghatározott hozzájárulási programban csak a hozzájárulás a ráfordítás, a kockázatot a munkavállaló viseli; a meghatározott juttatási programban a gazdálkodó egység viseli a kockázatot, ezért a mérlegben a kötelem jelenértékének és a programeszközök valós értékének különbségét mutatjuk ki, a szolgálat költsége és a nettó kamat az eredménybe, az újraértékelés az egyéb átfogó jövedelembe kerül, visszaforgatás nélkül. Az egyéb hosszú távú juttatásokat – például a jubileumi jutalmat – ugyanígy értékeljük, de minden változás az eredménybe megy. A végkielégítést akkor jelenítjük meg, amikor az ajánlat már nem vonható vissza, vagy amikor az átszervezési céltartalékot képezzük. 2027-től az IFRS 18 szerint a nettó kamat a finanszírozási kategóriába kerül.”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10. Visszakérdések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838"/>
      </w:tblGrid>
      <w:tr>
        <w:trPr>
          <w:tblHeader/>
        </w:trPr>
        <w:tc>
          <w:tcPr>
            <w:tcW w:type="dxa" w:w="3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Kérdés</w:t>
            </w:r>
          </w:p>
        </w:tc>
        <w:tc>
          <w:tcPr>
            <w:tcW w:type="dxa" w:w="5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Rövid válasz</w:t>
            </w:r>
          </w:p>
        </w:tc>
      </w:tr>
      <w:tr>
        <w:tc>
          <w:tcPr>
            <w:tcW w:type="dxa" w:w="3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 dönti el, hogy hozzájárulási vagy juttatási programról van szó?</w:t>
            </w:r>
          </w:p>
        </w:tc>
        <w:tc>
          <w:tcPr>
            <w:tcW w:type="dxa" w:w="5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gazdasági tartalom: ki viseli az aktuáriusi és a befektetési kockázatot [27–30].</w:t>
            </w:r>
          </w:p>
        </w:tc>
      </w:tr>
      <w:tr>
        <w:tc>
          <w:tcPr>
            <w:tcW w:type="dxa" w:w="3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 a kivetített jóváírási egység módszer?</w:t>
            </w:r>
          </w:p>
        </w:tc>
        <w:tc>
          <w:tcPr>
            <w:tcW w:type="dxa" w:w="5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Minden szolgálati időszak a juttatási jogosultság egy újabb egységét keletkezteti; az egységeket külön értékeljük a végső kötelem felépítéséhez [67–71].</w:t>
            </w:r>
          </w:p>
        </w:tc>
      </w:tr>
      <w:tr>
        <w:tc>
          <w:tcPr>
            <w:tcW w:type="dxa" w:w="3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Milyen diszkontrátát használunk?</w:t>
            </w:r>
          </w:p>
        </w:tc>
        <w:tc>
          <w:tcPr>
            <w:tcW w:type="dxa" w:w="5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 jó minőségű vállalati kötvények fordulónapi piaci hozamát; ahol nincs mély piac, az állampapírokét [83].</w:t>
            </w:r>
          </w:p>
        </w:tc>
      </w:tr>
      <w:tr>
        <w:tc>
          <w:tcPr>
            <w:tcW w:type="dxa" w:w="3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 az eszközértékhatár?</w:t>
            </w:r>
          </w:p>
        </w:tc>
        <w:tc>
          <w:tcPr>
            <w:tcW w:type="dxa" w:w="5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Többletnél a nettó eszköz a többlet és a jövőbeli visszatérítések vagy befizetés-csökkentések jelenértéke közül az alacsonyabb [64, 8].</w:t>
            </w:r>
          </w:p>
        </w:tc>
      </w:tr>
      <w:tr>
        <w:tc>
          <w:tcPr>
            <w:tcW w:type="dxa" w:w="3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Hogyan kezeljük a múltbeli szolgálat költségét?</w:t>
            </w:r>
          </w:p>
        </w:tc>
        <w:tc>
          <w:tcPr>
            <w:tcW w:type="dxa" w:w="5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Azonnal az eredménybe, a módosítás vagy a kapcsolódó átszervezés, végkielégítés megjelenítésének korábbi időpontjában [103].</w:t>
            </w:r>
          </w:p>
        </w:tc>
      </w:tr>
      <w:tr>
        <w:tc>
          <w:tcPr>
            <w:tcW w:type="dxa" w:w="3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 a különbség a nyugdíjprogram és a jubileumi jutalom elszámolása között?</w:t>
            </w:r>
          </w:p>
        </w:tc>
        <w:tc>
          <w:tcPr>
            <w:tcW w:type="dxa" w:w="5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Az értékelés azonos, de a jubileumi jutalomnál az újraértékelés is az eredménybe kerül [156].</w:t>
            </w:r>
          </w:p>
        </w:tc>
      </w:tr>
      <w:tr>
        <w:tc>
          <w:tcPr>
            <w:tcW w:type="dxa" w:w="3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Mikor jelenítjük meg a végkielégítést?</w:t>
            </w:r>
          </w:p>
        </w:tc>
        <w:tc>
          <w:tcPr>
            <w:tcW w:type="dxa" w:w="5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Ha az ajánlat már nem vonható vissza, vagy ha az IAS 37 szerinti átszervezési költséget megjelenítjük – a kettő közül a korábbiban [165].</w:t>
            </w:r>
          </w:p>
        </w:tc>
      </w:tr>
      <w:tr>
        <w:tc>
          <w:tcPr>
            <w:tcW w:type="dxa" w:w="3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Hogyan kezeljük az állami nyugdíjrendszert?</w:t>
            </w:r>
          </w:p>
        </w:tc>
        <w:tc>
          <w:tcPr>
            <w:tcW w:type="dxa" w:w="58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Mint a többmunkáltatós programot; jellemzően hozzájárulási programként, mert a gazdálkodó egységnek csak a befizetési kötelme van [43–45].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95959" w:sz="12"/>
              <w:left w:val="single" w:color="595959" w:sz="12"/>
              <w:bottom w:val="single" w:color="595959" w:sz="12"/>
              <w:right w:val="single" w:color="595959" w:sz="12"/>
            </w:tcBorders>
            <w:shd w:fill="F2F2F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595959"/>
              </w:rPr>
              <w:t xml:space="preserve">Magyar kitekintés (a tétel nem kéri)</w:t>
            </w:r>
          </w:p>
          <w:p>
            <w:pPr>
              <w:spacing w:after="80" w:line="276"/>
            </w:pPr>
            <w:r>
              <w:rPr>
                <w:rFonts w:ascii="Arial" w:cs="Arial" w:eastAsia="Arial" w:hAnsi="Arial"/>
              </w:rPr>
              <w:t xml:space="preserve">A Szt.-ben nincs aktuáriusi modell: a végkielégítés és a korhatár előtti ellátás miatti fizetési kötelezettségre céltartalékot kell képezni [Szt. 41. § (1)]; a nyugdíjprogram-kötelezettség IFRS-szerű értékelését a Szt. nem szabályozza. ◆ A munka törvénykönyve szerinti végkielégítés IAS 19 szerinti minősítése a feltételeitől függ [IAS 19.160, 164].</w:t>
            </w:r>
          </w:p>
        </w:tc>
      </w:tr>
    </w:tbl>
    <w:p>
      <w:pPr>
        <w:pStyle w:val="Heading1"/>
        <w:pageBreakBefore/>
      </w:pPr>
      <w:r>
        <w:rPr>
          <w:rFonts w:ascii="Arial" w:cs="Arial" w:eastAsia="Arial" w:hAnsi="Arial"/>
        </w:rPr>
        <w:t xml:space="preserve">Minőségbiztosítás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4138"/>
      </w:tblGrid>
      <w:tr>
        <w:trPr>
          <w:tblHeader/>
        </w:trPr>
        <w:tc>
          <w:tcPr>
            <w:tcW w:type="dxa" w:w="5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Ellenőrzési pont</w:t>
            </w:r>
          </w:p>
        </w:tc>
        <w:tc>
          <w:tcPr>
            <w:tcW w:type="dxa" w:w="4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Állapot</w:t>
            </w:r>
          </w:p>
        </w:tc>
      </w:tr>
      <w:tr>
        <w:tc>
          <w:tcPr>
            <w:tcW w:type="dxa" w:w="5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Eredeti tétel megőrizve; terminológia (értékvesztés miatti veszteség, rövid futamidejű lízing) jelezve</w:t>
            </w:r>
          </w:p>
        </w:tc>
        <w:tc>
          <w:tcPr>
            <w:tcW w:type="dxa" w:w="4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✔</w:t>
            </w:r>
          </w:p>
        </w:tc>
      </w:tr>
      <w:tr>
        <w:tc>
          <w:tcPr>
            <w:tcW w:type="dxa" w:w="5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A/2: az IAS 38 és az IAS 37 definíciója a régi keretelvi – a hivatalos lábjegyzetekkel jelezve</w:t>
            </w:r>
          </w:p>
        </w:tc>
        <w:tc>
          <w:tcPr>
            <w:tcW w:type="dxa" w:w="4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✔</w:t>
            </w:r>
          </w:p>
        </w:tc>
      </w:tr>
      <w:tr>
        <w:tc>
          <w:tcPr>
            <w:tcW w:type="dxa" w:w="5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B: IAS 37 és IAS 12 minden alpontja (megjelenítés, értékelés, közzététel) + két magyar párhuzam, számpéldával</w:t>
            </w:r>
          </w:p>
        </w:tc>
        <w:tc>
          <w:tcPr>
            <w:tcW w:type="dxa" w:w="4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✔</w:t>
            </w:r>
          </w:p>
        </w:tc>
      </w:tr>
      <w:tr>
        <w:tc>
          <w:tcPr>
            <w:tcW w:type="dxa" w:w="5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C: négy juttatási csoport és kezelésük; DB-számpélda; a hivatalos szöveg betegszabadság-példája</w:t>
            </w:r>
          </w:p>
        </w:tc>
        <w:tc>
          <w:tcPr>
            <w:tcW w:type="dxa" w:w="4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✔</w:t>
            </w:r>
          </w:p>
        </w:tc>
      </w:tr>
      <w:tr>
        <w:tc>
          <w:tcPr>
            <w:tcW w:type="dxa" w:w="5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⟳ IFRS 18 (nyereségadók kategóriája, a diszkont lebontása és a nettó kamat finanszírozási kategóriája, 83. bekezdés)</w:t>
            </w:r>
          </w:p>
        </w:tc>
        <w:tc>
          <w:tcPr>
            <w:tcW w:type="dxa" w:w="4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✔</w:t>
            </w:r>
          </w:p>
        </w:tc>
      </w:tr>
      <w:tr>
        <w:tc>
          <w:tcPr>
            <w:tcW w:type="dxa" w:w="5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Hivatalos magyar szöveg</w:t>
            </w:r>
          </w:p>
        </w:tc>
        <w:tc>
          <w:tcPr>
            <w:tcW w:type="dxa" w:w="4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IAS 12, 16, 19, 36, 37, 38, IFRS 16, IFRIC 23: 2023/1803; IFRS 18 és módosításai: 2026/338</w:t>
            </w:r>
          </w:p>
        </w:tc>
      </w:tr>
      <w:tr>
        <w:tc>
          <w:tcPr>
            <w:tcW w:type="dxa" w:w="55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Nyitott ◆ pontok</w:t>
            </w:r>
          </w:p>
        </w:tc>
        <w:tc>
          <w:tcPr>
            <w:tcW w:type="dxa" w:w="4138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</w:rPr>
              <w:t xml:space="preserve">Keretelv 4.3–4.4 (nem uniós jogszabály); IAS 12.88A–88D és a Pillar Two módosítás uniós befogadó rendeletének száma; IFRIC 21 bekezdésszám; az IAS 37 célzott módosításainak 2026 végi állapota; a KIVA, a HIPA és a Mt. szerinti végkielégítés IFRS-minősítése (értelmezés)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Hivatkozott standardpontok</w:t>
      </w:r>
    </w:p>
    <w:p>
      <w:pPr>
        <w:spacing w:after="100" w:line="276"/>
      </w:pPr>
      <w:r>
        <w:rPr>
          <w:rFonts w:ascii="Arial" w:cs="Arial" w:eastAsia="Arial" w:hAnsi="Arial"/>
          <w:b/>
          <w:bCs/>
        </w:rPr>
        <w:t xml:space="preserve">IAS 37:</w:t>
      </w:r>
      <w:r>
        <w:rPr>
          <w:rFonts w:ascii="Arial" w:cs="Arial" w:eastAsia="Arial" w:hAnsi="Arial"/>
        </w:rPr>
        <w:t xml:space="preserve"> 1–5, 10–92, 94A, 104–105. </w:t>
      </w:r>
      <w:r>
        <w:rPr>
          <w:rFonts w:ascii="Arial" w:cs="Arial" w:eastAsia="Arial" w:hAnsi="Arial"/>
          <w:b/>
          <w:bCs/>
        </w:rPr>
        <w:t xml:space="preserve">IAS 12:</w:t>
      </w:r>
      <w:r>
        <w:rPr>
          <w:rFonts w:ascii="Arial" w:cs="Arial" w:eastAsia="Arial" w:hAnsi="Arial"/>
        </w:rPr>
        <w:t xml:space="preserve"> 2, 4A, 5, 12–15, 22A, 24, 34–39, 44, 46–47, 51–53, 56–58, 61A–62A, 66, 71, 74, 77–82, 88. </w:t>
      </w:r>
      <w:r>
        <w:rPr>
          <w:rFonts w:ascii="Arial" w:cs="Arial" w:eastAsia="Arial" w:hAnsi="Arial"/>
          <w:b/>
          <w:bCs/>
        </w:rPr>
        <w:t xml:space="preserve">IAS 19:</w:t>
      </w:r>
      <w:r>
        <w:rPr>
          <w:rFonts w:ascii="Arial" w:cs="Arial" w:eastAsia="Arial" w:hAnsi="Arial"/>
        </w:rPr>
        <w:t xml:space="preserve"> 1–5, 8, 11–25, 26–53, 57, 63–71, 83, 102–116, 120–134, 135–141, 153–171, 180. </w:t>
      </w:r>
      <w:r>
        <w:rPr>
          <w:rFonts w:ascii="Arial" w:cs="Arial" w:eastAsia="Arial" w:hAnsi="Arial"/>
          <w:b/>
          <w:bCs/>
        </w:rPr>
        <w:t xml:space="preserve">IFRS 18:</w:t>
      </w:r>
      <w:r>
        <w:rPr>
          <w:rFonts w:ascii="Arial" w:cs="Arial" w:eastAsia="Arial" w:hAnsi="Arial"/>
        </w:rPr>
        <w:t xml:space="preserve"> 47, 59–61, 67, 83, 103, B53. </w:t>
      </w:r>
      <w:r>
        <w:rPr>
          <w:rFonts w:ascii="Arial" w:cs="Arial" w:eastAsia="Arial" w:hAnsi="Arial"/>
          <w:b/>
          <w:bCs/>
        </w:rPr>
        <w:t xml:space="preserve">IAS 16:</w:t>
      </w:r>
      <w:r>
        <w:rPr>
          <w:rFonts w:ascii="Arial" w:cs="Arial" w:eastAsia="Arial" w:hAnsi="Arial"/>
        </w:rPr>
        <w:t xml:space="preserve"> 6, 63, 65. </w:t>
      </w:r>
      <w:r>
        <w:rPr>
          <w:rFonts w:ascii="Arial" w:cs="Arial" w:eastAsia="Arial" w:hAnsi="Arial"/>
          <w:b/>
          <w:bCs/>
        </w:rPr>
        <w:t xml:space="preserve">IAS 36:</w:t>
      </w:r>
      <w:r>
        <w:rPr>
          <w:rFonts w:ascii="Arial" w:cs="Arial" w:eastAsia="Arial" w:hAnsi="Arial"/>
        </w:rPr>
        <w:t xml:space="preserve"> 59–60. </w:t>
      </w:r>
      <w:r>
        <w:rPr>
          <w:rFonts w:ascii="Arial" w:cs="Arial" w:eastAsia="Arial" w:hAnsi="Arial"/>
          <w:b/>
          <w:bCs/>
        </w:rPr>
        <w:t xml:space="preserve">IAS 38:</w:t>
      </w:r>
      <w:r>
        <w:rPr>
          <w:rFonts w:ascii="Arial" w:cs="Arial" w:eastAsia="Arial" w:hAnsi="Arial"/>
        </w:rPr>
        <w:t xml:space="preserve"> 8, 15, 21. </w:t>
      </w:r>
      <w:r>
        <w:rPr>
          <w:rFonts w:ascii="Arial" w:cs="Arial" w:eastAsia="Arial" w:hAnsi="Arial"/>
          <w:b/>
          <w:bCs/>
        </w:rPr>
        <w:t xml:space="preserve">IFRS 16:</w:t>
      </w:r>
      <w:r>
        <w:rPr>
          <w:rFonts w:ascii="Arial" w:cs="Arial" w:eastAsia="Arial" w:hAnsi="Arial"/>
        </w:rPr>
        <w:t xml:space="preserve"> 5–8, 53, 60, A. függelék. </w:t>
      </w:r>
      <w:r>
        <w:rPr>
          <w:rFonts w:ascii="Arial" w:cs="Arial" w:eastAsia="Arial" w:hAnsi="Arial"/>
          <w:b/>
          <w:bCs/>
        </w:rPr>
        <w:t xml:space="preserve">IFRIC 23:</w:t>
      </w:r>
      <w:r>
        <w:rPr>
          <w:rFonts w:ascii="Arial" w:cs="Arial" w:eastAsia="Arial" w:hAnsi="Arial"/>
        </w:rPr>
        <w:t xml:space="preserve"> 8–12. </w:t>
      </w:r>
      <w:r>
        <w:rPr>
          <w:rFonts w:ascii="Arial" w:cs="Arial" w:eastAsia="Arial" w:hAnsi="Arial"/>
          <w:b/>
          <w:bCs/>
        </w:rPr>
        <w:t xml:space="preserve">IAS 7:</w:t>
      </w:r>
      <w:r>
        <w:rPr>
          <w:rFonts w:ascii="Arial" w:cs="Arial" w:eastAsia="Arial" w:hAnsi="Arial"/>
        </w:rPr>
        <w:t xml:space="preserve"> 14 f). </w:t>
      </w:r>
      <w:r>
        <w:rPr>
          <w:rFonts w:ascii="Arial" w:cs="Arial" w:eastAsia="Arial" w:hAnsi="Arial"/>
          <w:b/>
          <w:bCs/>
        </w:rPr>
        <w:t xml:space="preserve">IAS 10:</w:t>
      </w:r>
      <w:r>
        <w:rPr>
          <w:rFonts w:ascii="Arial" w:cs="Arial" w:eastAsia="Arial" w:hAnsi="Arial"/>
        </w:rPr>
        <w:t xml:space="preserve"> 22 h). </w:t>
      </w:r>
      <w:r>
        <w:rPr>
          <w:rFonts w:ascii="Arial" w:cs="Arial" w:eastAsia="Arial" w:hAnsi="Arial"/>
          <w:b/>
          <w:bCs/>
        </w:rPr>
        <w:t xml:space="preserve">Szt.:</w:t>
      </w:r>
      <w:r>
        <w:rPr>
          <w:rFonts w:ascii="Arial" w:cs="Arial" w:eastAsia="Arial" w:hAnsi="Arial"/>
        </w:rPr>
        <w:t xml:space="preserve"> 3. § (8) 14–17., 3. § (16), 37. § (8)–(9), 38. § (3) b), 41. § (1)–(4), 44. § (9), 45/A. §, 53. § (1) a), 77. § (3) a), 81. § (3) a), 87. § (2)–(3), 90. § (3) c), (4) a), (8), 92. § (5), 94. § (3).</w:t>
      </w:r>
    </w:p>
    <w:p>
      <w:pPr>
        <w:pStyle w:val="Heading2"/>
      </w:pPr>
      <w:r>
        <w:rPr>
          <w:rFonts w:ascii="Arial" w:cs="Arial" w:eastAsia="Arial" w:hAnsi="Arial"/>
        </w:rPr>
        <w:t xml:space="preserve">Források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Bizottság (EU) 2023/1803 rendelete – a nemzetközi számviteli standardok hivatalos magyar szövege (2023. augusztusi egységes szerkezet).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A Bizottság (EU) 2026/338 rendelete – az IFRS 18 és következményes módosításai (IAS 7, 12, 19, 37) hivatalos magyar szövege.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IFRS Foundation – ifrs.org html-standards, IAS 12 (2024): 4A (Pillar Two).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2000. évi C. törvény a számvitelről – hatályos: 2026. 02. 28. (a felhasználó által feltöltött teljes szöveg).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808080"/>
        <w:sz w:val="16"/>
        <w:szCs w:val="16"/>
      </w:rPr>
      <w:t xml:space="preserve">IFRS szóbeli – 7. tétel (2027)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20"/>
      <w:outlineLvl w:val="1"/>
    </w:pPr>
    <w:rPr>
      <w:rFonts w:ascii="Arial" w:cs="Arial" w:eastAsia="Arial" w:hAnsi="Arial"/>
      <w:b/>
      <w:bCs/>
      <w:color w:val="2E5597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4040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IFRS szóbeli – 7. tétel (2027)</dc:title>
  <dc:creator>Claude</dc:creator>
  <cp:lastModifiedBy>Un-named</cp:lastModifiedBy>
  <cp:revision>1</cp:revision>
  <dcterms:created xsi:type="dcterms:W3CDTF">2026-09-28T10:29:57.819Z</dcterms:created>
  <dcterms:modified xsi:type="dcterms:W3CDTF">2026-09-28T10:29:57.819Z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