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400"/>
        <w:jc w:val="center"/>
      </w:pPr>
      <w:r>
        <w:rPr>
          <w:rFonts w:ascii="Calibri" w:cs="Calibri" w:eastAsia="Calibri" w:hAnsi="Calibri"/>
          <w:b/>
          <w:bCs/>
          <w:color w:val="1F4E79"/>
          <w:sz w:val="26"/>
          <w:szCs w:val="26"/>
        </w:rPr>
        <w:t xml:space="preserve">OKLEVELES KÖNYVVIZSGÁLÓI VIZSGA</w:t>
      </w:r>
    </w:p>
    <w:p>
      <w:pPr>
        <w:spacing w:after="500"/>
        <w:jc w:val="center"/>
      </w:pPr>
      <w:r>
        <w:rPr>
          <w:rFonts w:ascii="Calibri" w:cs="Calibri" w:eastAsia="Calibri" w:hAnsi="Calibri"/>
          <w:b/>
          <w:bCs/>
          <w:sz w:val="40"/>
          <w:szCs w:val="40"/>
        </w:rPr>
        <w:t xml:space="preserve">A számvitel magyar szabályozása</w:t>
      </w:r>
    </w:p>
    <w:p>
      <w:pPr>
        <w:spacing w:after="120"/>
        <w:jc w:val="center"/>
      </w:pPr>
      <w:r>
        <w:rPr>
          <w:rFonts w:ascii="Calibri" w:cs="Calibri" w:eastAsia="Calibri" w:hAnsi="Calibri"/>
          <w:b/>
          <w:bCs/>
          <w:color w:val="2E74B5"/>
          <w:sz w:val="34"/>
          <w:szCs w:val="34"/>
        </w:rPr>
        <w:t xml:space="preserve">2023. október 4-i vizsgasor</w:t>
      </w:r>
    </w:p>
    <w:p>
      <w:pPr>
        <w:spacing w:after="700"/>
        <w:jc w:val="center"/>
      </w:pPr>
      <w:r>
        <w:rPr>
          <w:rFonts w:ascii="Calibri" w:cs="Calibri" w:eastAsia="Calibri" w:hAnsi="Calibri"/>
          <w:color w:val="595959"/>
          <w:sz w:val="24"/>
          <w:szCs w:val="24"/>
        </w:rPr>
        <w:t xml:space="preserve">„Ingatlanhasznosító” Zrt. – a hivatalos megoldókulcs tételes ellenőrzése</w:t>
      </w:r>
    </w:p>
    <w:p>
      <w:pPr>
        <w:spacing w:after="110"/>
        <w:jc w:val="center"/>
      </w:pPr>
      <w:r>
        <w:rPr>
          <w:rFonts w:ascii="Calibri" w:cs="Calibri" w:eastAsia="Calibri" w:hAnsi="Calibri"/>
          <w:sz w:val="20"/>
          <w:szCs w:val="20"/>
        </w:rPr>
        <w:t xml:space="preserve">A vizsganaphoz teljes hivatalos megoldás tartozik. Az ellenőrzés </w:t>
      </w:r>
      <w:r>
        <w:rPr>
          <w:rFonts w:ascii="Calibri" w:cs="Calibri" w:eastAsia="Calibri" w:hAnsi="Calibri"/>
          <w:b/>
          <w:bCs/>
          <w:color w:val="C00000"/>
          <w:sz w:val="20"/>
          <w:szCs w:val="20"/>
        </w:rPr>
        <w:t xml:space="preserve">négy érdemi hibát</w:t>
      </w:r>
      <w:r>
        <w:rPr>
          <w:rFonts w:ascii="Calibri" w:cs="Calibri" w:eastAsia="Calibri" w:hAnsi="Calibri"/>
          <w:sz w:val="20"/>
          <w:szCs w:val="20"/>
        </w:rPr>
        <w:t xml:space="preserve"> talált: a le nem vonható telefon-áfa besorolását (2. esemény), a tőkeemelés könyvelési időpontját (13. esemény), a 3c) számlavázlat 90 mFt-os egyenlegkülönbségét, és a teszt 5. kérdésének osztalékmaximumát. Ezen felül két elírás is van a feladatlapon.</w:t>
      </w:r>
    </w:p>
    <w:p>
      <w:pPr>
        <w:spacing w:after="120"/>
      </w:pPr>
    </w:p>
    <w:p>
      <w:pPr>
        <w:spacing w:after="110"/>
        <w:jc w:val="center"/>
      </w:pPr>
      <w:r>
        <w:rPr>
          <w:rFonts w:ascii="Calibri" w:cs="Calibri" w:eastAsia="Calibri" w:hAnsi="Calibri"/>
          <w:color w:val="808080"/>
          <w:sz w:val="20"/>
          <w:szCs w:val="20"/>
        </w:rPr>
        <w:t xml:space="preserve">Készült: 2026. szeptember 15. | Jogszabályi állapot: 2026. február 28-tól hatályos Szt., 2026. szeptember 15-től hatályos Áfa tv.</w:t>
      </w:r>
    </w:p>
    <w:p>
      <w:r>
        <w:br w:type="page"/>
      </w:r>
    </w:p>
    <w:p>
      <w:pPr>
        <w:pStyle w:val="Heading1"/>
      </w:pPr>
      <w:r>
        <w:t xml:space="preserve">Tartalom</w:t>
      </w:r>
    </w:p>
    <w:p>
      <w:pPr>
        <w:spacing w:after="110"/>
      </w:pPr>
      <w:r>
        <w:rPr>
          <w:rFonts w:ascii="Calibri" w:cs="Calibri" w:eastAsia="Calibri" w:hAnsi="Calibri"/>
          <w:i/>
          <w:iCs/>
          <w:color w:val="808080"/>
          <w:sz w:val="18"/>
          <w:szCs w:val="18"/>
        </w:rPr>
        <w:t xml:space="preserve">A tartalomjegyzéket a Word a megnyitáskor tölti fel (a megnyitáskori kérdésre válaszolj „Igen”-nel).</w:t>
      </w:r>
    </w:p>
    <w:sdt>
      <w:sdtPr>
        <w:alias w:val="Tartalom"/>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 Áttekintés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rPr>
          <w:tblHeader/>
        </w:trPr>
        <w:tc>
          <w:tcPr>
            <w:tcW w:type="dxa" w:w="2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Ismérv</w:t>
            </w:r>
          </w:p>
        </w:tc>
        <w:tc>
          <w:tcPr>
            <w:tcW w:type="dxa" w:w="67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Adat</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Vizsganap</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2023. október 4.</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Feladatszerkezet</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1) Könyvelés 115 perc – 46 pont (tételenként 1 pont); 2) Kiegészítő könyvelési kérdések 20 perc – 10 pont; 3) 80 perc – 35 pont [3a) inverz számlavázlat 5 pont, 3b) mutatószámok 10 pont, 3c) költségelszámolás 20 pont]; 4) Teszt 25 perc – 12 pont. Összesen 100 pont.</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Hivatalos megoldás</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VAN – teljes kidolgozás, a teszt helyes válaszai félkövérrel kiemelve.</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A cég (1. feladat)</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„Ingatlanhasznosító” Zrt., 20X1. üzleti év. Csak költségnem elszámolás, összköltség eljárású eredménykimutatás; évközi folyamatos mennyiségi és értékbeni készletnyilvántartás; lineáris écs; devizás tételeknél MNB-árfolyam; fordulónap 20X1.12.31., mérlegkészítés 20X2.03.31.; áfakulcs 25%.</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MNB-árfolyamok</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20X1.12.01. 380 · 20X1.12.20. 385 · 20X1.12.31. 390 · 20X2.01.15. 395 Ft/€</w:t>
            </w:r>
          </w:p>
        </w:tc>
      </w:tr>
      <w:tr>
        <w:tc>
          <w:tcPr>
            <w:tcW w:type="dxa" w:w="2600"/>
            <w:tcMar>
              <w:top w:type="dxa" w:w="50"/>
              <w:left w:type="dxa" w:w="80"/>
              <w:bottom w:type="dxa" w:w="50"/>
              <w:right w:type="dxa" w:w="80"/>
            </w:tcMar>
          </w:tcPr>
          <w:p>
            <w:pPr>
              <w:spacing w:after="0"/>
            </w:pPr>
            <w:r>
              <w:rPr>
                <w:rFonts w:ascii="Calibri" w:cs="Calibri" w:eastAsia="Calibri" w:hAnsi="Calibri"/>
                <w:sz w:val="17"/>
                <w:szCs w:val="17"/>
              </w:rPr>
              <w:t xml:space="preserve">Fő témák</w:t>
            </w:r>
          </w:p>
        </w:tc>
        <w:tc>
          <w:tcPr>
            <w:tcW w:type="dxa" w:w="6750"/>
            <w:tcMar>
              <w:top w:type="dxa" w:w="50"/>
              <w:left w:type="dxa" w:w="80"/>
              <w:bottom w:type="dxa" w:w="50"/>
              <w:right w:type="dxa" w:w="80"/>
            </w:tcMar>
          </w:tcPr>
          <w:p>
            <w:pPr>
              <w:spacing w:after="0"/>
            </w:pPr>
            <w:r>
              <w:rPr>
                <w:rFonts w:ascii="Calibri" w:cs="Calibri" w:eastAsia="Calibri" w:hAnsi="Calibri"/>
                <w:sz w:val="17"/>
                <w:szCs w:val="17"/>
              </w:rPr>
              <w:t xml:space="preserve">épületbontás és újjáépítés (terven felüli écs, visszanyert anyag, saját teljesítmény aktiválása), le nem vonható telefon-áfa, karbantartás, közvetített szolgáltatás, pótbefizetés a tulajdonosnál, ellentételezés nélküli tartozásátvállalás, fejlesztési támogatás halasztott bevétele, kamatozó értékpapír felhalmozott kamata, reprezentáció, devizás bérleti díj és év végi értékelés, fordított áfás építési számla és saját beruházás áfája, tőkeemelés bejegyzése, behajtási költségátalány; saját üzletrész és tőkeleszállítás inverz feladatban; eladósodottsági és likviditási mutatók; saját termelésű készletek elszámoló áras nyilvántartása.</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2F7FB" w:color="auto" w:val="clear"/>
            <w:tcMar>
              <w:top w:type="dxa" w:w="120"/>
              <w:left w:type="dxa" w:w="160"/>
              <w:bottom w:type="dxa" w:w="120"/>
              <w:right w:type="dxa" w:w="160"/>
            </w:tcMar>
          </w:tcPr>
          <w:p>
            <w:pPr>
              <w:spacing w:after="60"/>
            </w:pPr>
            <w:r>
              <w:rPr>
                <w:rFonts w:ascii="Calibri" w:cs="Calibri" w:eastAsia="Calibri" w:hAnsi="Calibri"/>
                <w:b/>
                <w:bCs/>
                <w:color w:val="1F4E79"/>
                <w:sz w:val="20"/>
                <w:szCs w:val="20"/>
              </w:rPr>
              <w:t xml:space="preserve">Az ellenőrzés összegzése – mit kell másként tudni, mint a kulcs</w:t>
            </w:r>
          </w:p>
          <w:p>
            <w:pPr>
              <w:spacing w:after="50"/>
            </w:pPr>
            <w:r>
              <w:rPr>
                <w:rFonts w:ascii="Calibri" w:cs="Calibri" w:eastAsia="Calibri" w:hAnsi="Calibri"/>
                <w:sz w:val="19"/>
                <w:szCs w:val="19"/>
              </w:rPr>
              <w:t xml:space="preserve">HIBA (1. feladat 2. esemény): a le nem vonható 30 eFt telefon-áfát a kulcs egyéb ráfordításként számolja el. A Szt. 78. § (1) és (3) bekezdése szerint az igénybe vett szolgáltatás értéke „a le nem vonható általános forgalmi adót is magában foglaló” összeg, tehát helyesen Igénybe vett szolgáltatások 430 eFt.</w:t>
            </w:r>
          </w:p>
          <w:p>
            <w:pPr>
              <w:spacing w:after="50"/>
            </w:pPr>
            <w:r>
              <w:rPr>
                <w:rFonts w:ascii="Calibri" w:cs="Calibri" w:eastAsia="Calibri" w:hAnsi="Calibri"/>
                <w:sz w:val="19"/>
                <w:szCs w:val="19"/>
              </w:rPr>
              <w:t xml:space="preserve">HIBA (1. feladat 13. esemény): a jegyzett tőke emelését a Szt. 35. § (4) bekezdése szerint a cégbírósági bejegyzés időpontjával (20X2.01.15.) kell könyvelni, mert a tulajdonosok nem jelöltek meg eltérő változási időpontot. A 20X1. évi könyvekben ezért NEM könyvelhető tétel.</w:t>
            </w:r>
          </w:p>
          <w:p>
            <w:pPr>
              <w:spacing w:after="50"/>
            </w:pPr>
            <w:r>
              <w:rPr>
                <w:rFonts w:ascii="Calibri" w:cs="Calibri" w:eastAsia="Calibri" w:hAnsi="Calibri"/>
                <w:sz w:val="19"/>
                <w:szCs w:val="19"/>
              </w:rPr>
              <w:t xml:space="preserve">HIBA (3c): a megoldás számlavázlata nem zár. A Késztermék közvetlen költségei számla tartozik oldala 720, követel oldala 630; az STK elszámolási számla tartozik oldala 630, követel oldala 720. A 11. tétel (90 mFt) elhelyezése és a 2. tétel összege nincs összhangban.</w:t>
            </w:r>
          </w:p>
          <w:p>
            <w:pPr>
              <w:spacing w:after="50"/>
            </w:pPr>
            <w:r>
              <w:rPr>
                <w:rFonts w:ascii="Calibri" w:cs="Calibri" w:eastAsia="Calibri" w:hAnsi="Calibri"/>
                <w:sz w:val="19"/>
                <w:szCs w:val="19"/>
              </w:rPr>
              <w:t xml:space="preserve">HIBA (teszt 5. kérdés): a maximálisan kifizethető osztalék nem 3 000 eFt, hanem 1 000 eFt, tehát a helyes válasz az e) „Nincs jó válasz”. A kulcs a jegyzett, de még be nem fizetett tőkéből csak a 6 000 eFt apportot vonja le a 8 000 eFt helyett.</w:t>
            </w:r>
          </w:p>
          <w:p>
            <w:pPr>
              <w:spacing w:after="50"/>
            </w:pPr>
            <w:r>
              <w:rPr>
                <w:rFonts w:ascii="Calibri" w:cs="Calibri" w:eastAsia="Calibri" w:hAnsi="Calibri"/>
                <w:sz w:val="19"/>
                <w:szCs w:val="19"/>
              </w:rPr>
              <w:t xml:space="preserve">ELÍRÁS (1. feladat 10. esemény): a feladat szövege 1 200 000 eFt-ot ír, a kulcs 1 200 eFt-tal (bruttó 1 500 eFt) számol. Nagyságrendi elírás a feladatlapon.</w:t>
            </w:r>
          </w:p>
          <w:p>
            <w:pPr>
              <w:spacing w:after="50"/>
            </w:pPr>
            <w:r>
              <w:rPr>
                <w:rFonts w:ascii="Calibri" w:cs="Calibri" w:eastAsia="Calibri" w:hAnsi="Calibri"/>
                <w:sz w:val="19"/>
                <w:szCs w:val="19"/>
              </w:rPr>
              <w:t xml:space="preserve">ELÍRÁS (1. feladat 11c) és teszt 3. kérdés): a 11c) fejszövege 250 eFt összevont árfolyamnyereséget ír, miközben a részletezés és a könyvelés is 350 eFt. A teszt 3. kérdésében a b) és a d) válasz szövege azonos (100 M Ft).</w:t>
            </w:r>
          </w:p>
          <w:p>
            <w:pPr>
              <w:spacing w:after="50"/>
            </w:pPr>
            <w:r>
              <w:rPr>
                <w:rFonts w:ascii="Calibri" w:cs="Calibri" w:eastAsia="Calibri" w:hAnsi="Calibri"/>
                <w:sz w:val="19"/>
                <w:szCs w:val="19"/>
              </w:rPr>
              <w:t xml:space="preserve">Minden más tétel helyesnek bizonyult: az épületbontás teljes tételsora, a közvetített szolgáltatás, a pótbefizetés lekötése a tulajdonosnál, a tartozásátvállalás halasztott ráfordításának feloldása, a fejlesztési támogatás és arányos feloldása, az értékpapír felhalmozott kamata és az év végi kamatelhatárolás, a reprezentáció szja-ja és szocho-ja, a devizás értékelés, a fordított áfa és a saját beruházás áfája, a behajtási költségátalány elhatárolása, a 2. feladat mind a négy pontja, a 3a) inverz feladat és a 3b) mutatószámok.</w:t>
            </w:r>
          </w:p>
        </w:tc>
      </w:tr>
    </w:tbl>
    <w:p>
      <w:pPr>
        <w:pStyle w:val="Heading1"/>
        <w:pageBreakBefore/>
      </w:pPr>
      <w:r>
        <w:t xml:space="preserve">1. Feladat – Idősoros könyvelés (115 perc, 46 pont)</w:t>
      </w:r>
    </w:p>
    <w:p>
      <w:pPr>
        <w:spacing w:after="110"/>
      </w:pPr>
      <w:r>
        <w:rPr>
          <w:rFonts w:ascii="Calibri" w:cs="Calibri" w:eastAsia="Calibri" w:hAnsi="Calibri"/>
          <w:sz w:val="20"/>
          <w:szCs w:val="20"/>
        </w:rPr>
        <w:t xml:space="preserve">A Társaság csak költségnem elszámolást alkalmaz (5. számlaosztály), eredménykimutatása összköltség eljárású, ezért a saját előállítású eszközök aktivált értéke (SEEAÉ) és a saját termelésű készletek állományváltozása a bevételek között jelenik meg. Az alábbi kontírozásokban a kulcs jelöléseit követem, a megállapításaimat a táblák alatt jelölöm.</w:t>
      </w:r>
    </w:p>
    <w:p>
      <w:pPr>
        <w:spacing w:after="120"/>
      </w:pPr>
    </w:p>
    <w:p>
      <w:pPr>
        <w:pStyle w:val="Heading2"/>
      </w:pPr>
      <w:r>
        <w:t xml:space="preserve">1. esemény – Irodaház bontása és az új épület megkezdése (20X1.01.31.)</w:t>
      </w:r>
    </w:p>
    <w:p>
      <w:pPr>
        <w:spacing w:after="110"/>
      </w:pPr>
      <w:r>
        <w:rPr>
          <w:rFonts w:ascii="Calibri" w:cs="Calibri" w:eastAsia="Calibri" w:hAnsi="Calibri"/>
          <w:sz w:val="20"/>
          <w:szCs w:val="20"/>
        </w:rPr>
        <w:t xml:space="preserve">Adatok: bruttó érték 2 300 000 eFt, elszámolt terv szerinti écs 2 000 000 eFt, maradványérték 250 000 eFt, bontási költségek 5 000 anyag + 28 000 bér + 7 000 bérjárulék = 40 000 eFt, visszanyert tégla piaci értéke 220 000 eFt.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Könyv szerinti (nettó) érték a bontáskor</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2 300 000 – 2 000 000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300 000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Visszanyert, hasznosítható anyag piaci értéke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adott</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220 000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Terven felüli értékcsökkenés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300 000 – 220 000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80 000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1a) Bontásból visszanyert anyag készletre vétele piaci értéken</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Anyagok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bruttó értéke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220 000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1b) Terven felüli értékcsökkenés elszámolása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 Egyéb ráfordítások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terven felüli écs-je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80 000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1c) Halmozott terv szerinti écs kivezetése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terv szerinti écs-je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bruttó értéke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2 000 000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1d) Terven felüli écs kivezetése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terven felüli écs-je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bruttó értéke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80 000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1e) A beépített tégla anyagköltségként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Anyagköltség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Anyagok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220 000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1f) A beépített tégla aktiválása saját teljesítményként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SEEAÉ</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220 000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1g) Bontás saját költségei – anyag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Anyagköltség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1/4. Eszközök – források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5 000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1g) Bontás saját költségei – bér</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Bérköltség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1/4. Eszközök – források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28 000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1g) Bontás saját költségei – bérjárulék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Bérjárulékok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1/4. Eszközök – források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7 000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1h) A bontási költségek aktiválása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SEEAÉ</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40 000</w:t>
            </w:r>
          </w:p>
        </w:tc>
      </w:tr>
      <w:tr>
        <w:tc>
          <w:tcPr>
            <w:tcW w:type="dxa" w:w="9350"/>
            <w:gridSpan w:val="4"/>
            <w:shd w:fill="FFF7E6" w:color="auto" w:val="clear"/>
            <w:tcMar>
              <w:top w:type="dxa" w:w="50"/>
              <w:left w:type="dxa" w:w="80"/>
              <w:bottom w:type="dxa" w:w="50"/>
              <w:right w:type="dxa" w:w="80"/>
            </w:tcMar>
          </w:tcPr>
          <w:p>
            <w:pPr>
              <w:spacing w:after="0"/>
            </w:pPr>
            <w:r>
              <w:rPr>
                <w:rFonts w:ascii="Calibri" w:cs="Calibri" w:eastAsia="Calibri" w:hAnsi="Calibri"/>
                <w:i/>
                <w:iCs/>
                <w:sz w:val="17"/>
                <w:szCs w:val="17"/>
              </w:rPr>
              <w:t xml:space="preserve">Ellenőrzés: 2 300 000 – 220 000 – 2 000 000 – 80 000 = 0, az ingatlan bruttó értéke maradéktalanul kivezetésre került.</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53. § (1) b): terven felüli értékcsökkenést kell elszámolni, ha a tárgyi eszköz értéke tartósan lecsökken, mert „megrongálódás, megsemmisülés, illetve hiány következtében rendeltetésének megfelelően nem használható, illetve használhatatlan”. Szt. 53. § (2): az értékcsökkentést olyan mértékig kell végrehajtani, hogy az eszköz a használhatóságának megfelelő, a mérlegkészítéskor érvényes piaci értéken szerepeljen. Szt. 51. § (1) és 48. § (1): a saját vállalkozásban végzett beruházás bekerülési értéke a közvetlen önköltség.</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tételsor helyes és zárt. A 250 000 eFt maradványérték ebben a feladatban elterelő adat: az csak a leírási alapot korlátozta (2 300 000 – 250 000 = 2 050 000, ebből 2 000 000 került elszámolásra), a kivezetésnél nincs szerepe.</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visszanyert anyagot a kulcs a tárgyi eszköz bruttó értékével szemben veszi készletre (T Anyagok – K Ingatlanok bruttó értéke). Ez az MKVK-vizsgákon következetesen alkalmazott megoldás, és logikailag is ez a helyes: a visszanyert anyag a kivezetendő eszköz értékének egy része, nem új, ingyenes eszköz. A „T Anyagok – K Egyéb bevételek” megoldás ugyanezt az eredményt adná (a terven felüli écs ekkor a teljes 300 000 lenne), de kettős eredményhatást okozna.</w:t>
      </w:r>
    </w:p>
    <w:p>
      <w:pPr>
        <w:spacing w:after="120"/>
      </w:pPr>
    </w:p>
    <w:p>
      <w:pPr>
        <w:pStyle w:val="Heading2"/>
      </w:pPr>
      <w:r>
        <w:t xml:space="preserve">2. esemény – Mobiltelefon-számla, le nem vonható áfa (20X1.02.06.)</w:t>
      </w:r>
    </w:p>
    <w:p>
      <w:pPr>
        <w:spacing w:after="110"/>
      </w:pPr>
      <w:r>
        <w:rPr>
          <w:rFonts w:ascii="Calibri" w:cs="Calibri" w:eastAsia="Calibri" w:hAnsi="Calibri"/>
          <w:sz w:val="20"/>
          <w:szCs w:val="20"/>
        </w:rPr>
        <w:t xml:space="preserve">400 eFt + 100 eFt áfa; magánhasználat nincs; az áfa le nem vonható hányada 30%, azaz 30 eFt.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Hivatalos megoldás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hivatalos megoldókulcs szerint – 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Igénybe vett szolgáltatások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70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 Egyéb ráfordítások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 helyes megoldás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Telefonszámla elszámolása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Igénybe vett szolgáltatások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430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70</w:t>
            </w:r>
          </w:p>
        </w:tc>
      </w:tr>
      <w:tr>
        <w:tc>
          <w:tcPr>
            <w:tcW w:type="dxa" w:w="9350"/>
            <w:gridSpan w:val="4"/>
            <w:shd w:fill="FFF7E6" w:color="auto" w:val="clear"/>
            <w:tcMar>
              <w:top w:type="dxa" w:w="50"/>
              <w:left w:type="dxa" w:w="80"/>
              <w:bottom w:type="dxa" w:w="50"/>
              <w:right w:type="dxa" w:w="80"/>
            </w:tcMar>
          </w:tcPr>
          <w:p>
            <w:pPr>
              <w:spacing w:after="0"/>
            </w:pPr>
            <w:r>
              <w:rPr>
                <w:rFonts w:ascii="Calibri" w:cs="Calibri" w:eastAsia="Calibri" w:hAnsi="Calibri"/>
                <w:i/>
                <w:iCs/>
                <w:sz w:val="17"/>
                <w:szCs w:val="17"/>
              </w:rPr>
              <w:t xml:space="preserve">A le nem vonható 30 eFt áfa az igénybe vett szolgáltatás bekerülési értékének része.</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78. § (1): „Az anyagjellegű ráfordítások között kell kimutatni a vásárolt és felhasznált anyagok értékét, az igénybe vett (vásárolt) szolgáltatások – le nem vonható általános forgalmi adót is magában foglaló – értékét…” Szt. 78. § (3): „Az igénybe vett szolgáltatások értékeként az üzleti évben igénybe vett anyagjellegű és nem anyagjellegű szolgáltatások bekerülési értékét a – le nem vonható általános forgalmi adót is magában foglaló – számlázott, fizetett, szerződésben meghatározott összegben kell elszámolni.” Áfa tv. 124. § (3) b): nem vonható le „a vezeték nélküli telefonszolgáltatást … terhelő előzetesen felszámított adó összegének 30 százaléka”.</w:t>
      </w: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30 eFt le nem vonható áfa nem egyéb ráfordítás, hanem az igénybe vett szolgáltatás értékének része. A Szt. 78. §-a ezt kétszer, kifejezetten kimondja. A helyes tétel: T 5. Igénybe vett szolgáltatások 430 / T 4. Előzetes áfa 70 – K 4. Belföldi szállítók 500.</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kulcs önmagával is ellentmondásba kerül: a 10. eseménynél (reprezentáció) éppen azt írja, hogy „az előzetes áfa nem levonható, ezért nem egyéb ráfordítás, hanem egyéb személyi jellegű kifizetés” – ott tehát helyesen a költség részének tekinti a le nem vonható adót, itt viszont nem.</w:t>
      </w:r>
    </w:p>
    <w:p>
      <w:pPr>
        <w:spacing w:after="110"/>
      </w:pPr>
      <w:r>
        <w:rPr>
          <w:rFonts w:ascii="Calibri" w:cs="Calibri" w:eastAsia="Calibri" w:hAnsi="Calibri"/>
          <w:b/>
          <w:bCs/>
          <w:color w:val="7B5CD6"/>
          <w:sz w:val="20"/>
          <w:szCs w:val="20"/>
        </w:rPr>
        <w:t xml:space="preserve">◆ Vitatható pont / alternatíva: </w:t>
      </w:r>
      <w:r>
        <w:rPr>
          <w:rFonts w:ascii="Calibri" w:cs="Calibri" w:eastAsia="Calibri" w:hAnsi="Calibri"/>
          <w:sz w:val="20"/>
          <w:szCs w:val="20"/>
        </w:rPr>
        <w:t xml:space="preserve">Az Áfa tv. 125/A. §-a alapján a 30%-os levonási tilalom mellőzhető, ha az adóalany hitelt érdemlően bizonyítja a szolgáltatás kizárólagos üzleti célú használatát. A feladat viszont kifejezetten azt mondja, hogy „az áfa le nem vonható hányada az áfa tv. szerint 30%”, ezért ez a kérdés itt nem merül fel.</w:t>
      </w:r>
    </w:p>
    <w:p>
      <w:pPr>
        <w:spacing w:after="120"/>
      </w:pPr>
    </w:p>
    <w:p>
      <w:pPr>
        <w:pStyle w:val="Heading2"/>
      </w:pPr>
      <w:r>
        <w:t xml:space="preserve">3. esemény – Fénycsövek cseréje LED-csövekre (20X1.03.08.)</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3a) Fénycsövek beszerzése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Anyagok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6 000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1 500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3b) Fénycsövek cseréje (felhasználás)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Anyagköltség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Anyagok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6 000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48. § (2): „A tárgyi eszköz folyamatos, zavartalan, biztonságos üzemeltetését szolgáló javítási, karbantartási munka … ellenértékét … nem lehet a tárgyi eszköz bekerülési (beszerzési) értékében figyelembe venni.”</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világítótestek cseréje karbantartás, nem felújítás: nem növeli az épület élettartamát, nem változtatja meg a rendeltetését, és nem az eredeti állag helyreállítását szolgálja a 48. § (1) bekezdése értelmében. Anyagköltségként számolandó el.</w:t>
      </w:r>
    </w:p>
    <w:p>
      <w:pPr>
        <w:spacing w:after="120"/>
      </w:pPr>
    </w:p>
    <w:p>
      <w:pPr>
        <w:pStyle w:val="Heading2"/>
      </w:pPr>
      <w:r>
        <w:t xml:space="preserve">4. esemény – Bérlőre továbbterhelt irodakialakítás (20X1.04.19.)</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4a) Kivitelező számlája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Áruk (közvetített szolgáltatás)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4b) Továbbszámlázás a bérlőnek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Belföldi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Ért. nettó árbevétele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Belföldi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Fizetendő áfa</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4c) A közvetített szolgáltatás kivezetése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 Eladott (közvetített) szolgáltatások értéke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 Áruk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 § (4) 1.: közvetített szolgáltatás „a gazdálkodó által saját nevében vásárolt és a harmadik személlyel (a megrendelővel) kötött szerződés alapján, a szerződésben rögzített módon részben vagy egészben, de változatlan formában továbbértékesített (továbbszámlázott) szolgáltatás”, amelynél „a megrendelővel kötött szerződésből a közvetítés lehetősége, a számlából a közvetítés ténye … egyértelműen megállapítható”. Szt. 28. § (2) a): a közvetített szolgáltatások a készletek között mutatandók ki. Szt. 78. § (6): „Az eladott (közvetített) szolgáltatások értékeként a vásárolt és változatlan formában értékesített szolgáltatások bekerülési értékét kell elszámolni az értékesítéskor.”</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feladat mindkét törvényi feltételt kifejezetten megadja („a kivitelezési szerződésben és a számlában a továbbértékesítésre kerülő szolgáltatások egyértelműen elkülönültek”), ezért a közvetített szolgáltatás minősítés megalapozott, és a tétel nem igénybe vett szolgáltatás. Az árbevétel és az ELÁBÉ-val azonos sorban kimutatott eladott (közvetített) szolgáltatás értéke bruttó módon jelenik meg.</w:t>
      </w:r>
    </w:p>
    <w:p>
      <w:pPr>
        <w:spacing w:after="120"/>
      </w:pPr>
    </w:p>
    <w:p>
      <w:pPr>
        <w:pStyle w:val="Heading2"/>
      </w:pPr>
      <w:r>
        <w:t xml:space="preserve">5. esemény – Recepció felújítása vagy karbantartása? (20X1.05.22.)</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Karbantartási számla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Igénybe vett szolgáltatások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1 200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48. § (1)–(2): a bekerülési értéket növeli a bővítéssel, rendeltetés-megváltoztatással, átalakítással, élettartam-növeléssel összefüggő munka, valamint az eredeti állag helyreállítását szolgáló felújítás; a folyamatos, zavartalan, biztonságos üzemeltetést szolgáló javítási, karbantartási munka viszont nem aktiválható.</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járólap, a csempe és a wc-kagyló cseréje a rendeltetésszerű használatot biztosító karbantartás, nem felújítás – a helyiség kapacitása, pontossága, élettartama nem változik. Költségként elszámolandó.</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Az előzetes áfa itt teljes egészében levonható: irodaházról (nem lakóingatlanról) van szó, ezért az Áfa tv. 124. § (2) c) pontja szerinti tilalom nem alkalmazandó.</w:t>
      </w:r>
    </w:p>
    <w:p>
      <w:pPr>
        <w:spacing w:after="120"/>
      </w:pPr>
    </w:p>
    <w:p>
      <w:pPr>
        <w:pStyle w:val="Heading2"/>
      </w:pPr>
      <w:r>
        <w:t xml:space="preserve">6. esemény – Pótbefizetés elrendelése a közös vezetésű vállalkozásban (20X1.06.05.)</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Megszavazott, de még nem teljesített pótbefizetés lekötése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Eredménytartalék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Lekötött 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33 000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38. § (3) f): „Az eredménytartalékból kell lekötni és a lekötött tartalékba átvezetni: … a vállalkozó tulajdonosánál (tagjánál) a veszteség fedezetére – az arra illetékes testület által megszavazott, de még nem teljesített – fizetendő pótbefizetés összegét.” Szt. 38. § (5): a lekötést az eredménytartalékkal szemben akkor is el kell számolni, ha emiatt az eredménytartalék negatívvá válik vagy negatív egyenlege nő.</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Ez a tétel a kulcsban pontos, és éppen a törvényi tényállás mintapéldája: a taggyűlés elrendelte (megszavazta) a pótbefizetést, de a Társaság még nem teljesítette. Pénzmozgás ezért nincs; a tulajdonosnál kizárólag a saját tőkén belüli átrendezés könyvelendő.</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pótbefizetés tényleges teljesítésekor a tulajdonosnál a Szt. 37. § (2) e) pontja alapján az eredménytartalék csökkenéseként kell elszámolni a kifizetett összeget, és a lekötött tartalék feloldásra kerül. Ez azonban 20X1-ben még nem következett be.</w:t>
      </w:r>
    </w:p>
    <w:p>
      <w:pPr>
        <w:spacing w:after="120"/>
      </w:pPr>
    </w:p>
    <w:p>
      <w:pPr>
        <w:pStyle w:val="Heading2"/>
      </w:pPr>
      <w:r>
        <w:t xml:space="preserve">7. esemény – Átvállalt forgóeszközhitel törlesztése (20X1.07.18.)</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7a) Tőketörlesztés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Egyéb rövid lejáratú kötelezettségek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7a) Kamat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 Fizetendő (fizetett) kamatok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7b) Halasztott ráfordítás arányos feloldása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 Egyéb ráfordítások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Halasztott ráfordítások (AIE)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33. § (1): „Az aktív időbeli elhatárolások között halasztott ráfordításként kell kimutatni az ellentételezés nélküli tartozásátvállalás során – a tartozásátvállalás beszámolási időszakában – a véglegesen átvállalt és pénzügyileg nem rendezett kötelezettség egyéb ráfordításként elszámolt megállapodás szerinti összegét. Az elhatárolást az átvállalt kötelezettségnek a megállapodás szerinti pénzügyi rendezésekor, a teljesítésnek megfelelően kell az egyéb ráfordításokkal szemben megszüntetni.”</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feloldás alapja a tőketörlesztés (160 eFt), a kamat nem része az átvállalt kötelezettségnek, ezért a halasztott ráfordítást nem érinti. A kamatot a pénzügyi műveletek ráfordításai között kell kimutatni.</w:t>
      </w:r>
    </w:p>
    <w:p>
      <w:pPr>
        <w:spacing w:after="120"/>
      </w:pPr>
    </w:p>
    <w:p>
      <w:pPr>
        <w:pStyle w:val="Heading2"/>
      </w:pPr>
      <w:r>
        <w:t xml:space="preserve">8. esemény – Fejlesztési támogatás elszámolása és a gépsor üzembe helyezése (20X1.09.30.)</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A gépsor bekerülési értéke (75%-os intenzitás)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18 000 / 0,75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24 000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Tárgyévi értékcsökkenés (üzembe helyezés 09.30., 3 hónap)</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24 000 × 0,145 / 12 × 3</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870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A halasztott bevétel arányos feloldása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870 × 0,75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652,5 ≈ 653</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8a) Az elfogadott támogatás bevételként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Egyéb rövid lejáratú kötelezettségek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Egyéb bevételek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18 000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8b) A fejlesztési támogatás elhatárolása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Egyéb bevételek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Halasztott bevételek (PIE)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18 000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8c) A gépsor üzembe helyezése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Műszaki gépek, berendezések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24 000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8d) Tárgyévi értékcsökkenés (12.31.)</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Értékcsökkenési leírás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Műszaki gépek terv szerinti écs-je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870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8e) Halasztott bevétel feloldása (12.31.)</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Halasztott bevételek (PIE)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Egyéb bevételek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653</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45. § (1) a): a passzív időbeli elhatárolások között halasztott bevételként kell kimutatni az egyéb bevételként elszámolt „fejlesztési célra – visszafizetési kötelezettség nélkül – kapott, pénzügyileg rendezett támogatás … összegét”. Szt. 45. § (2): a halasztott bevételt „a fejlesztés során megvalósított eszköz … 47–51. § szerint meghatározott bekerülési értékének, illetve bekerülési értéke arányos részének költségkénti, illetve ráfordításkénti elszámolásakor kell megszüntetni”. Szt. 47. § (3): a támogatás nem csökkenti a bekerülési értéket.</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levezetés helyes. A 18 000 eFt korábban előlegként érkezett, ezért kötelezettségként szerepelt; a támogató elfogadó nyilatkozatával válik véglegessé, ekkor számolandó el egyéb bevételként és határolandó el. A 14,5%-os leírási kulcs 3 hónapra vetítve 870 eFt, a feloldás ennek a támogatási intenzitással arányos része.</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8a) és 8b) tétel „nettósítható” lenne (T Egyéb rövid lejáratú kötelezettségek – K Halasztott bevételek), a kulcs viszont – helyesen – kimutatja az egyéb bevételt is, mert a 45. § (1) bekezdése kifejezetten az „egyéb bevételként … elszámolt” összeg elhatárolásáról rendelkezik.</w:t>
      </w:r>
    </w:p>
    <w:p>
      <w:pPr>
        <w:spacing w:after="120"/>
      </w:pPr>
    </w:p>
    <w:p>
      <w:pPr>
        <w:pStyle w:val="Heading2"/>
      </w:pPr>
      <w:r>
        <w:t xml:space="preserve">9. esemény – Lejáratig tartott kamatozó értékpapír vásárlása (20X1.10.01.)</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Névérték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300 db × 10 eFt/db</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Vételár (készpénz)</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adott</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3 050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A vételárban lévő felhalmozott kamat (02.01.–10.01., 8 hó)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3 000 × 0,08 / 12 × 8</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160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Bekerülési érték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3 050 – 160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2 890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Év végi járó kamat (02.01.–12.31., 11 hó)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3 000 × 0,08 / 12 × 11</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220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Tárgyévi nettó kamatbevétel (a birtoklás 3 hónapjára)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220 – 160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60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9a) Az értékpapír állományba vétele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Tartós hitelviszonyt megtestesítő értékpapír</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Pénztár</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3 050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9b) A vételárban lévő felhalmozott kamat kiszűrése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Befektetett pénzügyi eszközökből származó bevétel</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Tartós hitelviszonyt megtestesítő értékpapír</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9c) Év végi járó kamat elhatárolása (12.31.)</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Bevételek aktív időbeli elhatárolása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Befektetett pénzügyi eszközökből származó bevétel</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220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47. § (4): a bekerülési értéknek nem része a vételárban lévő felhalmozott kamat, azt kamatkövetelésként kell kezelni. Szt. 84. § (3) a): a befektetett pénzügyi eszközökből származó bevételek között kell kimutatni a hitelviszonyt megtestesítő, kamatozó értékpapír után járó kamatot. Szt. 32. § (1): a mérlegfordulónapig időarányosan járó, de csak a következő üzleti évben esedékes bevételt aktív időbeli elhatárolásként kell kimutatni.</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két tétel együttes hatása pontosan a tényleges birtoklási időszak (október–december, 3 hónap) 60 eFt kamata, ami a helyes eredmény. A 8 hónapos és a 11 hónapos kamatszámítás is a kibocsátás napjától (20X1.02.01.) indul, ez helyes.</w:t>
      </w:r>
    </w:p>
    <w:p>
      <w:pPr>
        <w:spacing w:after="120"/>
      </w:pPr>
    </w:p>
    <w:p>
      <w:pPr>
        <w:pStyle w:val="Heading2"/>
      </w:pPr>
      <w:r>
        <w:t xml:space="preserve">10. esemény – Disznótor mint reprezentáció (20X1.11.29.)</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feladat szövege „1 200 000 eFt + áfáról” szóló számlát említ, a megoldókulcs viszont mindenütt 1 200 eFt nettó, 1 500 eFt bruttó összeggel számol. Nagyságrendi elírás a feladatlapon; a kulcs számítása a konzisztens.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Bruttó számlaérték (le nem vonható áfával)</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1 200 × 1,25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1 500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Reprezentáció utáni szja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1 500 × 1,18 × 0,15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265,5 ≈ 266</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Szociális hozzájárulási adó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1 500 × 1,18 × 0,13</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230,1 ≈ 230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Egyéb személyi jellegű kifizetés összesen</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1 500 + 266</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1 766</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Reprezentáció elszámolása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Egyéb személyi jellegű kifizetések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1 500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Az szja a személyi jellegű kifizetés része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Egyéb személyi jellegű kifizetések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Szja kötelezettség</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266</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Szociális hozzájárulási adó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 Bérjárulékok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Szocho kötelezettség</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230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79. § (3): „A személyi jellegű egyéb kifizetések közé tartoznak a természetes személyek részére nem bérköltségként és nem vállalkozási díjként kifizetett, elszámolt összegek, beleértve ezen összegek le nem vonható általános forgalmi adóját, továbbá az ezen összegek után a vállalkozó által fizetendő (fizetett) személyi jövedelemadó összegét is.” Szt. 79. § (4): „Bérjárulékok a szociális hozzájárulási adó, továbbá minden olyan adók módjára fizetendő összeg, amelyet a személyi jellegű ráfordítások vagy a foglalkoztatottak száma alapján állapítanak meg…” Áfa tv. 124. § (2) g): nem vonható le a vendéglátó-ipari szolgáltatást terhelő előzetesen felszámított adó.</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bruttó (le nem vonható áfát tartalmazó) érték és a rá jutó szja is egyéb személyi jellegű kifizetés, a szocho bérjárulék. A 2023-as vizsganapon a szocho kulcsa 13% volt, az szja 15%, a reprezentációs juttatás adóalapja pedig a juttatás értékének 1,18-szorosa – a kulcs ezekkel számol.</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kulcs maga is kimondja: „Fogadjuk el jó megoldásnak azt is, ha valaki nem számolt a reprezentáció szja-jával és a szocho-val.” A vizsgán tehát a puszta 1 500 eFt-os tétel is pontot ért.</w:t>
      </w:r>
    </w:p>
    <w:p>
      <w:pPr>
        <w:spacing w:after="120"/>
      </w:pPr>
    </w:p>
    <w:p>
      <w:pPr>
        <w:pStyle w:val="Heading2"/>
      </w:pPr>
      <w:r>
        <w:t xml:space="preserve">11. esemény – Devizás bérleti díj és év végi értékelés (20X1.12.01.)</w:t>
      </w:r>
    </w:p>
    <w:p>
      <w:pPr>
        <w:spacing w:after="110"/>
      </w:pPr>
      <w:r>
        <w:rPr>
          <w:rFonts w:ascii="Calibri" w:cs="Calibri" w:eastAsia="Calibri" w:hAnsi="Calibri"/>
          <w:sz w:val="20"/>
          <w:szCs w:val="20"/>
        </w:rPr>
        <w:t xml:space="preserve">A követelés a 40 e€ bérleti díjon felül az áfát is euróban tartalmazza: 40 e€ × 1,25 = 50 e€. Ezért folyik be 30 e€ után még 20 e€ (nem 10 e€) a fordulónapon.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Árbevétel (12.01., 380 Ft/€)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40 e€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15 200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Fizetendő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10 e€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3 800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Devizás vevőkövetelés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50 e€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19 000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Befolyt 12.20-án (385 Ft/€)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 e€ × 385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11 550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Kivezetett könyv szerinti érték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 e€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11 400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Realizált árfolyamnyereség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 e€ × (385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150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Év végi értékelés – devizabetét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30 e€ × (390 – 385)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150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Év végi értékelés – devizás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20 e€ × (390 – 380)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Összevont év végi árfolyamnyereség</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150 + 200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350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11a) Bérleti díj kiszámlázása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Devizás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Belf. ért. nettó árbevétele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15 200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Devizás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Fizetendő áfa</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3 800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11b) Vevői utalás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Devizabetét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Devizás vevők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11 400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Devizabetét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Pénzügyi műveletek egyéb bevételei</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150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11c) Év végi értékelés (12.31.)</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Devizabetét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Pénzügyi műveletek egyéb bevételei</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150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Devizás vevők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9. Pénzügyi műveletek egyéb bevételei</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60. § (1)–(3): a valutás, devizás tételeket a bekerüléskor a választott árfolyamon kell forintosítani, a mérlegfordulónapon átértékelni, és a keletkező árfolyam-különbözeteket összevontan kell elszámolni a pénzügyi műveletek egyéb bevételei, illetve ráfordításai között. Szt. 60. § (4): választható a választott hitelintézet deviza vételi és eladási árfolyamának átlaga vagy az MNB/EKB hivatalos árfolyama – a Társaság az MNB-árfolyamot választotta.</w:t>
      </w: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11c) pont fejszövege „összevont árfolyamnyeresége: 250 eFt”-ot ír, miközben a részletezés (150 + 200) és a könyvelési tétel is 350 eFt. Elírás a kulcsban; a könyvelt összeg a helyes.</w:t>
      </w:r>
    </w:p>
    <w:p>
      <w:pPr>
        <w:spacing w:after="110"/>
      </w:pPr>
      <w:r>
        <w:rPr>
          <w:rFonts w:ascii="Calibri" w:cs="Calibri" w:eastAsia="Calibri" w:hAnsi="Calibri"/>
          <w:b/>
          <w:bCs/>
          <w:color w:val="7B5CD6"/>
          <w:sz w:val="20"/>
          <w:szCs w:val="20"/>
        </w:rPr>
        <w:t xml:space="preserve">◆ Vitatható pont / alternatíva: </w:t>
      </w:r>
      <w:r>
        <w:rPr>
          <w:rFonts w:ascii="Calibri" w:cs="Calibri" w:eastAsia="Calibri" w:hAnsi="Calibri"/>
          <w:sz w:val="20"/>
          <w:szCs w:val="20"/>
        </w:rPr>
        <w:t xml:space="preserve">Az áfaalap devizás ügyletnél az Áfa tv. 80. § (1)–(2) bekezdése szerint főszabályként a belföldi hitelintézet deviza eladási árfolyamán számítandó, MNB-árfolyam csak előzetes adóhatósági bejelentéssel alkalmazható. A feladat egyszerűsítve, egységesen az MNB-árfolyamot használja; a vizsgán ez az elvárt megoldás.</w:t>
      </w:r>
    </w:p>
    <w:p>
      <w:pPr>
        <w:spacing w:after="120"/>
      </w:pPr>
    </w:p>
    <w:p>
      <w:pPr>
        <w:pStyle w:val="Heading2"/>
      </w:pPr>
      <w:r>
        <w:t xml:space="preserve">12. esemény – Fordított áfás kivitelezői végszámla és az üzembe helyezés (20X1.12.23.)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2500"/>
        <w:gridCol w:w="2250"/>
      </w:tblGrid>
      <w:tr>
        <w:trPr>
          <w:tblHeader/>
        </w:trPr>
        <w:tc>
          <w:tcPr>
            <w:tcW w:type="dxa" w:w="46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Kivitelezői végszámla (fordított áfás)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adott</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3 000 000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Fordított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3 000 000 × 0,25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750 000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Beépített tégla (1e–1f)</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220 000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Saját bontási költségek (1g–1h)</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40 000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Aktivált érték összesen</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220 000 + 40 000 + 3 000 000</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3 260 000</w:t>
            </w:r>
          </w:p>
        </w:tc>
      </w:tr>
      <w:tr>
        <w:tc>
          <w:tcPr>
            <w:tcW w:type="dxa" w:w="4600"/>
            <w:tcMar>
              <w:top w:type="dxa" w:w="50"/>
              <w:left w:type="dxa" w:w="80"/>
              <w:bottom w:type="dxa" w:w="50"/>
              <w:right w:type="dxa" w:w="80"/>
            </w:tcMar>
          </w:tcPr>
          <w:p>
            <w:pPr>
              <w:spacing w:after="0"/>
            </w:pPr>
            <w:r>
              <w:rPr>
                <w:rFonts w:ascii="Calibri" w:cs="Calibri" w:eastAsia="Calibri" w:hAnsi="Calibri"/>
                <w:sz w:val="17"/>
                <w:szCs w:val="17"/>
              </w:rPr>
              <w:t xml:space="preserve">Saját beruházás áfája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(220 000 + 40 000) × 0,25</w:t>
            </w:r>
          </w:p>
        </w:tc>
        <w:tc>
          <w:tcPr>
            <w:tcW w:type="dxa" w:w="2250"/>
            <w:tcMar>
              <w:top w:type="dxa" w:w="50"/>
              <w:left w:type="dxa" w:w="80"/>
              <w:bottom w:type="dxa" w:w="50"/>
              <w:right w:type="dxa" w:w="80"/>
            </w:tcMar>
          </w:tcPr>
          <w:p>
            <w:pPr>
              <w:spacing w:after="0"/>
              <w:jc w:val="right"/>
            </w:pPr>
            <w:r>
              <w:rPr>
                <w:rFonts w:ascii="Calibri" w:cs="Calibri" w:eastAsia="Calibri" w:hAnsi="Calibri"/>
                <w:sz w:val="17"/>
                <w:szCs w:val="17"/>
              </w:rPr>
              <w:t xml:space="preserve">65 000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12a) Kivitelezői számla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3 000 000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12a) Fordított adózás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Fizetendő áfa</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750 000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12b) Az átépített ingatlan használatbavétele (12.31.)</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és kapcsolódó vagyoni értékű jogok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3 260 000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12c) Saját beruházás áfája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Fizetendő áfa</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65 000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Áfa tv. 142. § (1) b): az adót a szolgáltatás igénybevevője fizeti „a szolgáltatás nyújtásának minősülő olyan építési-szerelési és egyéb szerelési munka esetében, amely ingatlan létrehozatalára, bővítésére, átalakítására, az ingatlan bontással történő megszüntetésére és rendeltetésének megváltoztatására … irányul, feltéve, hogy az ingatlanra vonatkozó tevékenység hatósági engedélyhez vagy hatósághoz történő bejelentéshez kötött…” Áfa tv. 11. § (2) a): ellenérték fejében teljesített termékértékesítés „az adóalany vállalkozásán belül végzett saját beruházása, ha ennek eredményeként tárgyi eszközt állít elő”. Áfa tv. 68. §: ezekben az esetekben az adóalap „a termék vagy az ahhoz hasonló termék teljesítéskor megállapított beszerzési ára, ilyen ár hiányában pedig a teljesítéskor megállapított előállítási értéke”.</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Az aktivált érték levezetése helyes, és a fordított adózás mindkét oldalának (fizetendő és levonható) egyidejű könyvelése is. A saját beruházás után önadózással megállapított áfa levonható, mert az ingatlant adóköteles bérbeadáshoz használják.</w:t>
      </w:r>
    </w:p>
    <w:p>
      <w:pPr>
        <w:spacing w:after="110"/>
      </w:pPr>
      <w:r>
        <w:rPr>
          <w:rFonts w:ascii="Calibri" w:cs="Calibri" w:eastAsia="Calibri" w:hAnsi="Calibri"/>
          <w:b/>
          <w:bCs/>
          <w:color w:val="7B5CD6"/>
          <w:sz w:val="20"/>
          <w:szCs w:val="20"/>
        </w:rPr>
        <w:t xml:space="preserve">◆ Vitatható pont / alternatíva: </w:t>
      </w:r>
      <w:r>
        <w:rPr>
          <w:rFonts w:ascii="Calibri" w:cs="Calibri" w:eastAsia="Calibri" w:hAnsi="Calibri"/>
          <w:sz w:val="20"/>
          <w:szCs w:val="20"/>
        </w:rPr>
        <w:t xml:space="preserve">A saját beruházás áfaalapja vitatható. Az Áfa tv. 68. §-a az előállítási értékről szól, ami szó szerint a teljes 3 260 000 eFt lenne; a kulcs viszont csak a saját teljesítményre (260 000 eFt) vetíti. A kulcs megoldása gyakorlatilag védhető, mert a kivitelezői 3 000 000 eFt után a fordított adózás keretében már megállapították a fizetendő adót, a teljes előállítási értékre vetítés tehát kétszeres fizetendő adót eredményezne. A vizsgán a kulcs szerinti 65 000 eFt az elvárt válasz.</w:t>
      </w:r>
    </w:p>
    <w:p>
      <w:pPr>
        <w:spacing w:after="120"/>
      </w:pPr>
    </w:p>
    <w:p>
      <w:pPr>
        <w:pStyle w:val="Heading2"/>
      </w:pPr>
      <w:r>
        <w:t xml:space="preserve">13. esemény – Tőkeemelés döntése és bejegyzése (20X1.12.29. / 20X2.01.15.)</w:t>
      </w:r>
    </w:p>
    <w:p>
      <w:pPr>
        <w:spacing w:after="110"/>
      </w:pPr>
      <w:r>
        <w:rPr>
          <w:rFonts w:ascii="Calibri" w:cs="Calibri" w:eastAsia="Calibri" w:hAnsi="Calibri"/>
          <w:sz w:val="20"/>
          <w:szCs w:val="20"/>
        </w:rPr>
        <w:t xml:space="preserve">A tulajdonosok 20X1.12.29-én 25 000 eFt jegyzett tőke emeléséről döntöttek, 20% ázsióval. A Cégbíróság a tőkeemelést 20X2.01.15-én jegyezte be, a befizetés is ekkor érkezett meg. A tulajdonosok a változásbejegyzési kérelemben nem jelöltek meg időpontot.</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35. § (4): „…az alaptőke, a törzstőke, az alapítói vagyon, az egyéb társasági részesedés felemelése, illetve leszállítása miatti jegyzett tőke-változást a cégjegyzékbe való bejegyzés alapján, a bejegyzés időpontjával, illetve ha a változás időpontja eltér a bejegyzés időpontjától, akkor a változás időpontjával kell a könyviteli nyilvántartásokban rögzíteni.” Szt. 35. § (3): jegyzett tőke „a cégbíróságon bejegyzett tőke a létesítő okiratban meghatározott összegben”.</w:t>
      </w: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kulcs a 20X1. évi tételsorban tünteti fel a „T 4. Jegyzett, de még be nem fizetett tőke – K 4. Jegyzett tőke 25 000” tételt. Mivel a tulajdonosok NEM jelöltek meg eltérő változási időpontot, a Szt. 35. § (4) bekezdése alapján a könyvelés időpontja a cégbírósági bejegyzés napja, azaz 20X2. január 15. A 20X1. évi könyvekben ezért NINCS könyvelendő tétel, és a 20X1. december 31-i mérlegben a jegyzett tőke változatlan.</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feladat kifejezetten kiemeli, hogy „a tulajdonosok a változásbejegyzési kérelemben nem jelöltek meg időpontot” – ez éppen a 35. § (4) bekezdésének második fordulatát zárja ki, tehát a vizsgáztató pontosan ezt a szabályt kérdezi. Nem zárható ki, hogy a kulcs a tételt 20X2-re szánta, és csak a feladat sorszáma miatt szerepelteti itt (a 2. feladat c) pontja ugyanerre a napra már csak a pénzügyi rendezést kérdezi) – így olvasva a kulcs nem téves, csak félrevezetően elhelyezett. Vizsgán a biztos válasz: 20X1-ben nincs tétel, 20X2.01.15-én könyvelendő a tőkeemelés és a befizetés is.</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20X2. január 15-i tételek</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tőkeemelés bejegyzése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Jegyzett, de még be nem fizetett tőke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Jegyzett tőke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25 000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tulajdonosi befizetés (25 000 + 20% ázsió)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Jegyzett, de még be nem fizetett tőke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25 000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Tőketartalék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5 000</w:t>
            </w:r>
          </w:p>
        </w:tc>
      </w:tr>
      <w:tr>
        <w:tc>
          <w:tcPr>
            <w:tcW w:type="dxa" w:w="9350"/>
            <w:gridSpan w:val="4"/>
            <w:shd w:fill="FFF7E6" w:color="auto" w:val="clear"/>
            <w:tcMar>
              <w:top w:type="dxa" w:w="50"/>
              <w:left w:type="dxa" w:w="80"/>
              <w:bottom w:type="dxa" w:w="50"/>
              <w:right w:type="dxa" w:w="80"/>
            </w:tcMar>
          </w:tcPr>
          <w:p>
            <w:pPr>
              <w:spacing w:after="0"/>
            </w:pPr>
            <w:r>
              <w:rPr>
                <w:rFonts w:ascii="Calibri" w:cs="Calibri" w:eastAsia="Calibri" w:hAnsi="Calibri"/>
                <w:i/>
                <w:iCs/>
                <w:sz w:val="17"/>
                <w:szCs w:val="17"/>
              </w:rPr>
              <w:t xml:space="preserve">Mindhárom tétel könyvelési napja 20X2. január 15.</w:t>
            </w:r>
          </w:p>
        </w:tc>
      </w:tr>
    </w:tbl>
    <w:p>
      <w:pPr>
        <w:spacing w:after="120"/>
      </w:pPr>
    </w:p>
    <w:p>
      <w:pPr>
        <w:pStyle w:val="Heading2"/>
      </w:pPr>
      <w:r>
        <w:t xml:space="preserve">14. esemény – Behajtási költségátalány (20X2.04.12.)</w:t>
      </w:r>
    </w:p>
    <w:p>
      <w:pPr>
        <w:spacing w:after="110"/>
      </w:pPr>
      <w:r>
        <w:rPr>
          <w:rFonts w:ascii="Calibri" w:cs="Calibri" w:eastAsia="Calibri" w:hAnsi="Calibri"/>
          <w:sz w:val="20"/>
          <w:szCs w:val="20"/>
        </w:rPr>
        <w:t xml:space="preserve">Nincs könyvelendő tétel a 20X1. üzleti évben.</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77. § (2) b): az egyéb bevételek között kell elszámolni „a kapott bírságok, kötbérek, fekbérek, késedelmi kamatok, behajtási költségátalányok, kártérítések, sérelemdíjak összegét”, de a bekezdés záró fordulata szerint csak akkor, „ha az a tárgyévhez vagy a tárgyévet megelőző üzleti év(ek)hez kapcsolódik és azt a mérlegkészítés időpontjáig pénzügyileg rendezték”.</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8 500 eFt 20X2. április 12-én folyt be, a mérlegkészítés napja viszont 20X2. március 31. A pénzügyi rendezés tehát a mérlegkészítés után történt, ezért a 20X1. évi beszámolót nem érinti; a következő üzleti évben számolandó el egyéb bevételként.</w:t>
      </w:r>
    </w:p>
    <w:p>
      <w:pPr>
        <w:pStyle w:val="Heading1"/>
        <w:pageBreakBefore/>
      </w:pPr>
      <w:r>
        <w:t xml:space="preserve">2. Feladat – Kapcsolódó könyvelési kérdések (20 perc, 10 pont)</w:t>
      </w:r>
    </w:p>
    <w:p>
      <w:pPr>
        <w:pStyle w:val="Heading2"/>
      </w:pPr>
      <w:r>
        <w:t xml:space="preserve">a) Mit könyvel a bérbevevő az 1. Feladat 4. pontjánál? (3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kivitelező számlája a bérbevevőnél</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Előzetes áfa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Belföldi szállítók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4 000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Aktiválás idegen (bérbe vett) ingatlanon végzett beruházásként</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Ingatlanok (bérbe vett ingatlanon végzett beruházás)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1. Beruházások, felújítások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bl>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Helyes. A bérbevevő a saját tevékenységét szolgáló, idegen ingatlanon végzett beruházást aktiválja, és a bérleti jogviszony időtartama alatt írja le. A Szt. 26. § (2) bekezdése az ingatlanok között nevesíti az ingatlanhoz kapcsolódó vagyoni értékű jogokat és a bérbe vett ingatlanon végzett beruházásokat.</w:t>
      </w:r>
    </w:p>
    <w:p>
      <w:pPr>
        <w:spacing w:after="120"/>
      </w:pPr>
    </w:p>
    <w:p>
      <w:pPr>
        <w:pStyle w:val="Heading2"/>
      </w:pPr>
      <w:r>
        <w:t xml:space="preserve">b) Mit könyvel a közös vezetésű vállalkozás? (2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pótbefizetés átvétele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Lekötött 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33 000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tulajdonos lemond a pótbefizetésből származó követeléséről</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Lekötött tartalék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Eredménytartalék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33 000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38. § (4): „Lekötött tartalékként kell kimutatni a vállalkozónál a veszteségek fedezetére kapott pótbefizetés összegét, a pótbefizetés visszafizetéséig, elszámolása a pénzmozgással, az eszközmozgással egyidejűleg történik.” Szt. 38. § (11): „A vállalkozónál a lekötött tartalékban kimutatott pótbefizetés összegét az eredménytartalék javára kell átvezetni, amennyiben a vállalkozó tulajdonosa (tagja) a pótbefizetésből származó követeléséről lemond, a lemondás időpontjával.”</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Mindkét tétel szó szerint megfelel a törvényi szövegnek. Fontos, hogy a kapott pótbefizetés a kapónál NEM eredményt érint és nem is kötelezettség, hanem a saját tőkén belül a lekötött tartalék.</w:t>
      </w:r>
    </w:p>
    <w:p>
      <w:pPr>
        <w:spacing w:after="120"/>
      </w:pPr>
    </w:p>
    <w:p>
      <w:pPr>
        <w:pStyle w:val="Heading2"/>
      </w:pPr>
      <w:r>
        <w:t xml:space="preserve">c) Mit könyvel a zrt. 20X2. január 15-én? (2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A tulajdonosi befizetés</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Jegyzett, de még be nem fizetett tőke</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25 000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Ázsió</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3. Bankbetétek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Tőketartalék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5 000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36. § (1) a): a tőketartalék növekedéseként kell kimutatni részvénytársaságnál a részvények kibocsátáskori, illetve tőkeemeléskori névértéke és kibocsátási értéke közötti különbözetet.</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13. eseménynél leírtak szerint ugyanezen a napon könyvelendő a jegyzett tőke emelése is (T Jegyzett, de még be nem fizetett tőke – K Jegyzett tőke 25 000). A teljes, helyes 20X2. január 15-i tételsor tehát háromsoros.</w:t>
      </w:r>
    </w:p>
    <w:p>
      <w:pPr>
        <w:spacing w:after="120"/>
      </w:pPr>
    </w:p>
    <w:p>
      <w:pPr>
        <w:pStyle w:val="Heading2"/>
      </w:pPr>
      <w:r>
        <w:t xml:space="preserve">d) Mit és mikor könyvelt volna tőkekivonásos tőkeleszállítás esetén? (3 pont)</w:t>
      </w:r>
    </w:p>
    <w:p>
      <w:pPr>
        <w:spacing w:after="110"/>
      </w:pPr>
      <w:r>
        <w:rPr>
          <w:rFonts w:ascii="Calibri" w:cs="Calibri" w:eastAsia="Calibri" w:hAnsi="Calibri"/>
          <w:sz w:val="20"/>
          <w:szCs w:val="20"/>
        </w:rPr>
        <w:t xml:space="preserve">Adatok a tőkeleszállítás előtt: jegyzett tőke 80 000, eredménytartalék 50 000, lekötött tartalék 10 000, értékelési tartalék 300 000 eFt. A leszállítás 20%, a bejegyzés napja 20X2. február 15.</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500"/>
        <w:gridCol w:w="2500"/>
        <w:gridCol w:w="1200"/>
      </w:tblGrid>
      <w:tr>
        <w:trPr>
          <w:tblHeader/>
        </w:trPr>
        <w:tc>
          <w:tcPr>
            <w:tcW w:type="dxa" w:w="3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Tartozik (T)</w:t>
            </w:r>
          </w:p>
        </w:tc>
        <w:tc>
          <w:tcPr>
            <w:tcW w:type="dxa" w:w="2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Követel (K)</w:t>
            </w:r>
          </w:p>
        </w:tc>
        <w:tc>
          <w:tcPr>
            <w:tcW w:type="dxa" w:w="1200"/>
            <w:shd w:fill="DDEBF7" w:color="auto" w:val="clear"/>
            <w:tcMar>
              <w:top w:type="dxa" w:w="50"/>
              <w:left w:type="dxa" w:w="80"/>
              <w:bottom w:type="dxa" w:w="50"/>
              <w:right w:type="dxa" w:w="80"/>
            </w:tcMar>
          </w:tcPr>
          <w:p>
            <w:pPr>
              <w:spacing w:after="0"/>
              <w:jc w:val="right"/>
            </w:pPr>
            <w:r>
              <w:rPr>
                <w:rFonts w:ascii="Calibri" w:cs="Calibri" w:eastAsia="Calibri" w:hAnsi="Calibri"/>
                <w:b/>
                <w:bCs/>
                <w:sz w:val="17"/>
                <w:szCs w:val="17"/>
              </w:rPr>
              <w:t xml:space="preserve">eFt</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20X1.12.29. – lekötés a döntés alapján</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Eredménytartalék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Lekötött 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20X2.02.15. – a lekötött tartalék feloldása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Lekötött tartalék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Eredménytartalék</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10 000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20X2.02.15. – a tőkeleszállítás elszámolása</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Jegyzett tőke</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Rövid lejáratú kötelezettségek kapcsolt vállalkozással szemben</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r>
        <w:tc>
          <w:tcPr>
            <w:tcW w:type="dxa" w:w="315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Eredménytartalék</w:t>
            </w:r>
          </w:p>
        </w:tc>
        <w:tc>
          <w:tcPr>
            <w:tcW w:type="dxa" w:w="2500"/>
            <w:tcMar>
              <w:top w:type="dxa" w:w="50"/>
              <w:left w:type="dxa" w:w="80"/>
              <w:bottom w:type="dxa" w:w="50"/>
              <w:right w:type="dxa" w:w="80"/>
            </w:tcMar>
          </w:tcPr>
          <w:p>
            <w:pPr>
              <w:spacing w:after="0"/>
            </w:pPr>
            <w:r>
              <w:rPr>
                <w:rFonts w:ascii="Calibri" w:cs="Calibri" w:eastAsia="Calibri" w:hAnsi="Calibri"/>
                <w:sz w:val="17"/>
                <w:szCs w:val="17"/>
              </w:rPr>
              <w:t xml:space="preserve">4. Rövid lejáratú kötelezettségek kapcsolt vállalkozással szemben</w:t>
            </w:r>
          </w:p>
        </w:tc>
        <w:tc>
          <w:tcPr>
            <w:tcW w:type="dxa" w:w="1200"/>
            <w:tcMar>
              <w:top w:type="dxa" w:w="50"/>
              <w:left w:type="dxa" w:w="80"/>
              <w:bottom w:type="dxa" w:w="50"/>
              <w:right w:type="dxa" w:w="80"/>
            </w:tcMar>
          </w:tcPr>
          <w:p>
            <w:pPr>
              <w:spacing w:after="0"/>
              <w:jc w:val="right"/>
            </w:pPr>
            <w:r>
              <w:rPr>
                <w:rFonts w:ascii="Calibri" w:cs="Calibri" w:eastAsia="Calibri" w:hAnsi="Calibri"/>
                <w:sz w:val="17"/>
                <w:szCs w:val="17"/>
              </w:rPr>
              <w:t xml:space="preserve">10 000</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2950"/>
      </w:tblGrid>
      <w:tr>
        <w:trPr>
          <w:tblHeader/>
        </w:trPr>
        <w:tc>
          <w:tcPr>
            <w:tcW w:type="dxa" w:w="34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Tőkeelem</w:t>
            </w:r>
          </w:p>
        </w:tc>
        <w:tc>
          <w:tcPr>
            <w:tcW w:type="dxa" w:w="30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9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Kivont összeg (eFt)</w:t>
            </w:r>
          </w:p>
        </w:tc>
      </w:tr>
      <w:tr>
        <w:tc>
          <w:tcPr>
            <w:tcW w:type="dxa" w:w="3400"/>
            <w:tcMar>
              <w:top w:type="dxa" w:w="50"/>
              <w:left w:type="dxa" w:w="80"/>
              <w:bottom w:type="dxa" w:w="50"/>
              <w:right w:type="dxa" w:w="80"/>
            </w:tcMar>
          </w:tcPr>
          <w:p>
            <w:pPr>
              <w:spacing w:after="0"/>
            </w:pPr>
            <w:r>
              <w:rPr>
                <w:rFonts w:ascii="Calibri" w:cs="Calibri" w:eastAsia="Calibri" w:hAnsi="Calibri"/>
                <w:sz w:val="17"/>
                <w:szCs w:val="17"/>
              </w:rPr>
              <w:t xml:space="preserve">Jegyzett tőke</w:t>
            </w:r>
          </w:p>
        </w:tc>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80 000 × 20%</w:t>
            </w:r>
          </w:p>
        </w:tc>
        <w:tc>
          <w:tcPr>
            <w:tcW w:type="dxa" w:w="2950"/>
            <w:tcMar>
              <w:top w:type="dxa" w:w="50"/>
              <w:left w:type="dxa" w:w="80"/>
              <w:bottom w:type="dxa" w:w="50"/>
              <w:right w:type="dxa" w:w="80"/>
            </w:tcMar>
          </w:tcPr>
          <w:p>
            <w:pPr>
              <w:spacing w:after="0"/>
              <w:jc w:val="right"/>
            </w:pPr>
            <w:r>
              <w:rPr>
                <w:rFonts w:ascii="Calibri" w:cs="Calibri" w:eastAsia="Calibri" w:hAnsi="Calibri"/>
                <w:sz w:val="17"/>
                <w:szCs w:val="17"/>
              </w:rPr>
              <w:t xml:space="preserve">16 000</w:t>
            </w:r>
          </w:p>
        </w:tc>
      </w:tr>
      <w:tr>
        <w:tc>
          <w:tcPr>
            <w:tcW w:type="dxa" w:w="3400"/>
            <w:tcMar>
              <w:top w:type="dxa" w:w="50"/>
              <w:left w:type="dxa" w:w="80"/>
              <w:bottom w:type="dxa" w:w="50"/>
              <w:right w:type="dxa" w:w="80"/>
            </w:tcMar>
          </w:tcPr>
          <w:p>
            <w:pPr>
              <w:spacing w:after="0"/>
            </w:pPr>
            <w:r>
              <w:rPr>
                <w:rFonts w:ascii="Calibri" w:cs="Calibri" w:eastAsia="Calibri" w:hAnsi="Calibri"/>
                <w:sz w:val="17"/>
                <w:szCs w:val="17"/>
              </w:rPr>
              <w:t xml:space="preserve">Eredménytartalék</w:t>
            </w:r>
          </w:p>
        </w:tc>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50 000 × 20%</w:t>
            </w:r>
          </w:p>
        </w:tc>
        <w:tc>
          <w:tcPr>
            <w:tcW w:type="dxa" w:w="2950"/>
            <w:tcMar>
              <w:top w:type="dxa" w:w="50"/>
              <w:left w:type="dxa" w:w="80"/>
              <w:bottom w:type="dxa" w:w="50"/>
              <w:right w:type="dxa" w:w="80"/>
            </w:tcMar>
          </w:tcPr>
          <w:p>
            <w:pPr>
              <w:spacing w:after="0"/>
              <w:jc w:val="right"/>
            </w:pPr>
            <w:r>
              <w:rPr>
                <w:rFonts w:ascii="Calibri" w:cs="Calibri" w:eastAsia="Calibri" w:hAnsi="Calibri"/>
                <w:sz w:val="17"/>
                <w:szCs w:val="17"/>
              </w:rPr>
              <w:t xml:space="preserve">10 000</w:t>
            </w:r>
          </w:p>
        </w:tc>
      </w:tr>
      <w:tr>
        <w:tc>
          <w:tcPr>
            <w:tcW w:type="dxa" w:w="3400"/>
            <w:tcMar>
              <w:top w:type="dxa" w:w="50"/>
              <w:left w:type="dxa" w:w="80"/>
              <w:bottom w:type="dxa" w:w="50"/>
              <w:right w:type="dxa" w:w="80"/>
            </w:tcMar>
          </w:tcPr>
          <w:p>
            <w:pPr>
              <w:spacing w:after="0"/>
            </w:pPr>
            <w:r>
              <w:rPr>
                <w:rFonts w:ascii="Calibri" w:cs="Calibri" w:eastAsia="Calibri" w:hAnsi="Calibri"/>
                <w:sz w:val="17"/>
                <w:szCs w:val="17"/>
              </w:rPr>
              <w:t xml:space="preserve">Tőketartalék</w:t>
            </w:r>
          </w:p>
        </w:tc>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nincs tőketartalék</w:t>
            </w:r>
          </w:p>
        </w:tc>
        <w:tc>
          <w:tcPr>
            <w:tcW w:type="dxa" w:w="2950"/>
            <w:tcMar>
              <w:top w:type="dxa" w:w="50"/>
              <w:left w:type="dxa" w:w="80"/>
              <w:bottom w:type="dxa" w:w="50"/>
              <w:right w:type="dxa" w:w="80"/>
            </w:tcMar>
          </w:tcPr>
          <w:p>
            <w:pPr>
              <w:spacing w:after="0"/>
              <w:jc w:val="right"/>
            </w:pPr>
            <w:r>
              <w:rPr>
                <w:rFonts w:ascii="Calibri" w:cs="Calibri" w:eastAsia="Calibri" w:hAnsi="Calibri"/>
                <w:sz w:val="17"/>
                <w:szCs w:val="17"/>
              </w:rPr>
              <w:t xml:space="preserve">0</w:t>
            </w:r>
          </w:p>
        </w:tc>
      </w:tr>
      <w:tr>
        <w:tc>
          <w:tcPr>
            <w:tcW w:type="dxa" w:w="3400"/>
            <w:tcMar>
              <w:top w:type="dxa" w:w="50"/>
              <w:left w:type="dxa" w:w="80"/>
              <w:bottom w:type="dxa" w:w="50"/>
              <w:right w:type="dxa" w:w="80"/>
            </w:tcMar>
          </w:tcPr>
          <w:p>
            <w:pPr>
              <w:spacing w:after="0"/>
            </w:pPr>
            <w:r>
              <w:rPr>
                <w:rFonts w:ascii="Calibri" w:cs="Calibri" w:eastAsia="Calibri" w:hAnsi="Calibri"/>
                <w:sz w:val="17"/>
                <w:szCs w:val="17"/>
              </w:rPr>
              <w:t xml:space="preserve">Kötelezettség a tulajdonossal szemben</w:t>
            </w:r>
          </w:p>
        </w:tc>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
            </w:r>
          </w:p>
        </w:tc>
        <w:tc>
          <w:tcPr>
            <w:tcW w:type="dxa" w:w="2950"/>
            <w:tcMar>
              <w:top w:type="dxa" w:w="50"/>
              <w:left w:type="dxa" w:w="80"/>
              <w:bottom w:type="dxa" w:w="50"/>
              <w:right w:type="dxa" w:w="80"/>
            </w:tcMar>
          </w:tcPr>
          <w:p>
            <w:pPr>
              <w:spacing w:after="0"/>
              <w:jc w:val="right"/>
            </w:pPr>
            <w:r>
              <w:rPr>
                <w:rFonts w:ascii="Calibri" w:cs="Calibri" w:eastAsia="Calibri" w:hAnsi="Calibri"/>
                <w:sz w:val="17"/>
                <w:szCs w:val="17"/>
              </w:rPr>
              <w:t xml:space="preserve">26 000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36. § (2) c) és 37. § (2) f): a jegyzett tőke tőkekivonással történő leszállításakor a tőketartalékot, illetve az eredménytartalékot a bevont jegyzett tőke arányában kell csökkenteni. Szt. 35. § (4): a könyvelés időpontja a cégjegyzékbe való bejegyzés napja.</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megoldás helyes: az értékelési tartalék (300 000 eFt) elterelő adat, azt a Szt. 39. § (1) bekezdésének záró fordulata szerint nem lehet a saját tőke más elemeinek kiegészítésére felhasználni, és kötelezettség sem teljesíthető a terhére. A lekötés viszont már a döntés napján (20X1.12.29.) esedékes.</w:t>
      </w:r>
    </w:p>
    <w:p>
      <w:pPr>
        <w:pStyle w:val="Heading1"/>
        <w:pageBreakBefore/>
      </w:pPr>
      <w:r>
        <w:t xml:space="preserve">3. Feladat (80 perc, 35 pont)</w:t>
      </w:r>
    </w:p>
    <w:p>
      <w:pPr>
        <w:pStyle w:val="Heading2"/>
      </w:pPr>
      <w:r>
        <w:t xml:space="preserve">3a) Inverz feladat – saját üzletrész és tőkeleszállítás (5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100"/>
        <w:gridCol w:w="5200"/>
        <w:gridCol w:w="3050"/>
      </w:tblGrid>
      <w:tr>
        <w:trPr>
          <w:tblHeader/>
        </w:trPr>
        <w:tc>
          <w:tcPr>
            <w:tcW w:type="dxa" w:w="11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Sorszám</w:t>
            </w:r>
          </w:p>
        </w:tc>
        <w:tc>
          <w:tcPr>
            <w:tcW w:type="dxa" w:w="5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30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Összeg (eFt)</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1a)</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Saját üzletrész visszavásárlása (T 3. Saját üzletrész – K 3. Bankbetétek)</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1 500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1b)</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Lekötött tartalék képzése a visszavásárlási értékkel (T 4. Eredménytartalék – K 4. Lekötött tartalék)</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1 500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2a)</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visszavásárolt saját üzletrész felének bevonása, a visszavásárlási érték kivezetése (T 4. Eredménytartalék – K 3. Saját üzletrész)</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750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2b)</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bevont üzletrészre jutó lekötött tartalék feloldása (T 4. Lekötött tartalék – K 4. Eredménytartalék)</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750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2c)</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jegyzett tőke 5%-os leszállítása a bevont üzletrész névértékével, cégbírósági bejegyzés alapján (T 4. Jegyzett tőke – K 4. Eredménytartalék)</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500</w:t>
            </w:r>
          </w:p>
        </w:tc>
      </w:tr>
    </w:tbl>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38. § (3) a): az eredménytartalékból kell lekötni a visszavásárolt saját üzletrészek könyv szerinti értékét. Szt. 38. § (6): a lekötött tartalék feloldását azzal a tőkeelemmel szemben kell elszámolni, amelyből a lekötés történt. Szt. 35. § (10): „A visszavásárolt saját részvény, saját üzletrész … bevonása esetén, azok névértékének megfelelő összeggel a jegyzett tőkét kell csökkenteni, a névérték és a visszavásárlási (nyilvántartás szerinti) érték közötti különbözettel – előjelének megfelelően – az eredménytartalékot kell módosítani a jegyzett tőke módosításának a cégjegyzékbe történt bejegyzése időpontjával.”</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számlavázlat zár, és a megoldás megfelel a 35. § (10) bekezdésének. A visszavásárlási érték (750) és a névérték (500) különbözete 250 eFt-tal csökkenti az eredménytartalékot – a kulcs ezt két tételre bontja (2a) –750, 2c) +500), ami azonos eredményre vezet. A jegyzett tőke nyitó 10 000 eFt-jának 5%-a 500 eFt, ami megerősíti, hogy a bevont üzletrész névértéke 500 eFt.</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hiányzó számlaelnevezés a 3. oszlopban: 4. Eredménytartalék; a lenti számla: 4. Lekötött tartalék.</w:t>
      </w:r>
    </w:p>
    <w:p>
      <w:pPr>
        <w:spacing w:after="120"/>
      </w:pPr>
    </w:p>
    <w:p>
      <w:pPr>
        <w:pStyle w:val="Heading2"/>
      </w:pPr>
      <w:r>
        <w:t xml:space="preserve">3b) Mutatószámok (10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4200"/>
        <w:gridCol w:w="2150"/>
      </w:tblGrid>
      <w:tr>
        <w:trPr>
          <w:tblHeader/>
        </w:trPr>
        <w:tc>
          <w:tcPr>
            <w:tcW w:type="dxa" w:w="30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Mutató</w:t>
            </w:r>
          </w:p>
        </w:tc>
        <w:tc>
          <w:tcPr>
            <w:tcW w:type="dxa" w:w="4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Számítás</w:t>
            </w:r>
          </w:p>
        </w:tc>
        <w:tc>
          <w:tcPr>
            <w:tcW w:type="dxa" w:w="2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Érték</w:t>
            </w:r>
          </w:p>
        </w:tc>
      </w:tr>
      <w:tr>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Eladósodási fok (idegen tőke / össztőke)</w:t>
            </w:r>
          </w:p>
        </w:tc>
        <w:tc>
          <w:tcPr>
            <w:tcW w:type="dxa" w:w="4200"/>
            <w:tcMar>
              <w:top w:type="dxa" w:w="50"/>
              <w:left w:type="dxa" w:w="80"/>
              <w:bottom w:type="dxa" w:w="50"/>
              <w:right w:type="dxa" w:w="80"/>
            </w:tcMar>
          </w:tcPr>
          <w:p>
            <w:pPr>
              <w:spacing w:after="0"/>
            </w:pPr>
            <w:r>
              <w:rPr>
                <w:rFonts w:ascii="Calibri" w:cs="Calibri" w:eastAsia="Calibri" w:hAnsi="Calibri"/>
                <w:sz w:val="17"/>
                <w:szCs w:val="17"/>
              </w:rPr>
              <w:t xml:space="preserve">(5 000 – 400) / 5 000 = 4 600 / 5 000</w:t>
            </w:r>
          </w:p>
        </w:tc>
        <w:tc>
          <w:tcPr>
            <w:tcW w:type="dxa" w:w="2150"/>
            <w:tcMar>
              <w:top w:type="dxa" w:w="50"/>
              <w:left w:type="dxa" w:w="80"/>
              <w:bottom w:type="dxa" w:w="50"/>
              <w:right w:type="dxa" w:w="80"/>
            </w:tcMar>
          </w:tcPr>
          <w:p>
            <w:pPr>
              <w:spacing w:after="0"/>
              <w:jc w:val="right"/>
            </w:pPr>
            <w:r>
              <w:rPr>
                <w:rFonts w:ascii="Calibri" w:cs="Calibri" w:eastAsia="Calibri" w:hAnsi="Calibri"/>
                <w:sz w:val="17"/>
                <w:szCs w:val="17"/>
              </w:rPr>
              <w:t xml:space="preserve">0,92</w:t>
            </w:r>
          </w:p>
        </w:tc>
      </w:tr>
      <w:tr>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Tőkefeszültségi mutató (idegen tőke / saját tőke)</w:t>
            </w:r>
          </w:p>
        </w:tc>
        <w:tc>
          <w:tcPr>
            <w:tcW w:type="dxa" w:w="4200"/>
            <w:tcMar>
              <w:top w:type="dxa" w:w="50"/>
              <w:left w:type="dxa" w:w="80"/>
              <w:bottom w:type="dxa" w:w="50"/>
              <w:right w:type="dxa" w:w="80"/>
            </w:tcMar>
          </w:tcPr>
          <w:p>
            <w:pPr>
              <w:spacing w:after="0"/>
            </w:pPr>
            <w:r>
              <w:rPr>
                <w:rFonts w:ascii="Calibri" w:cs="Calibri" w:eastAsia="Calibri" w:hAnsi="Calibri"/>
                <w:sz w:val="17"/>
                <w:szCs w:val="17"/>
              </w:rPr>
              <w:t xml:space="preserve">4 600 / 400</w:t>
            </w:r>
          </w:p>
        </w:tc>
        <w:tc>
          <w:tcPr>
            <w:tcW w:type="dxa" w:w="2150"/>
            <w:tcMar>
              <w:top w:type="dxa" w:w="50"/>
              <w:left w:type="dxa" w:w="80"/>
              <w:bottom w:type="dxa" w:w="50"/>
              <w:right w:type="dxa" w:w="80"/>
            </w:tcMar>
          </w:tcPr>
          <w:p>
            <w:pPr>
              <w:spacing w:after="0"/>
              <w:jc w:val="right"/>
            </w:pPr>
            <w:r>
              <w:rPr>
                <w:rFonts w:ascii="Calibri" w:cs="Calibri" w:eastAsia="Calibri" w:hAnsi="Calibri"/>
                <w:sz w:val="17"/>
                <w:szCs w:val="17"/>
              </w:rPr>
              <w:t xml:space="preserve">11,5</w:t>
            </w:r>
          </w:p>
        </w:tc>
      </w:tr>
      <w:tr>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Likviditási ráta</w:t>
            </w:r>
          </w:p>
        </w:tc>
        <w:tc>
          <w:tcPr>
            <w:tcW w:type="dxa" w:w="4200"/>
            <w:tcMar>
              <w:top w:type="dxa" w:w="50"/>
              <w:left w:type="dxa" w:w="80"/>
              <w:bottom w:type="dxa" w:w="50"/>
              <w:right w:type="dxa" w:w="80"/>
            </w:tcMar>
          </w:tcPr>
          <w:p>
            <w:pPr>
              <w:spacing w:after="0"/>
            </w:pPr>
            <w:r>
              <w:rPr>
                <w:rFonts w:ascii="Calibri" w:cs="Calibri" w:eastAsia="Calibri" w:hAnsi="Calibri"/>
                <w:sz w:val="17"/>
                <w:szCs w:val="17"/>
              </w:rPr>
              <w:t xml:space="preserve">(5 000 – 3 450 – 50) / (2 300 + 140 + 60) = 1 500 / 2 500</w:t>
            </w:r>
          </w:p>
        </w:tc>
        <w:tc>
          <w:tcPr>
            <w:tcW w:type="dxa" w:w="2150"/>
            <w:tcMar>
              <w:top w:type="dxa" w:w="50"/>
              <w:left w:type="dxa" w:w="80"/>
              <w:bottom w:type="dxa" w:w="50"/>
              <w:right w:type="dxa" w:w="80"/>
            </w:tcMar>
          </w:tcPr>
          <w:p>
            <w:pPr>
              <w:spacing w:after="0"/>
              <w:jc w:val="right"/>
            </w:pPr>
            <w:r>
              <w:rPr>
                <w:rFonts w:ascii="Calibri" w:cs="Calibri" w:eastAsia="Calibri" w:hAnsi="Calibri"/>
                <w:sz w:val="17"/>
                <w:szCs w:val="17"/>
              </w:rPr>
              <w:t xml:space="preserve">0,60</w:t>
            </w:r>
          </w:p>
        </w:tc>
      </w:tr>
      <w:tr>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Likviditási gyorsráta</w:t>
            </w:r>
          </w:p>
        </w:tc>
        <w:tc>
          <w:tcPr>
            <w:tcW w:type="dxa" w:w="4200"/>
            <w:tcMar>
              <w:top w:type="dxa" w:w="50"/>
              <w:left w:type="dxa" w:w="80"/>
              <w:bottom w:type="dxa" w:w="50"/>
              <w:right w:type="dxa" w:w="80"/>
            </w:tcMar>
          </w:tcPr>
          <w:p>
            <w:pPr>
              <w:spacing w:after="0"/>
            </w:pPr>
            <w:r>
              <w:rPr>
                <w:rFonts w:ascii="Calibri" w:cs="Calibri" w:eastAsia="Calibri" w:hAnsi="Calibri"/>
                <w:sz w:val="17"/>
                <w:szCs w:val="17"/>
              </w:rPr>
              <w:t xml:space="preserve">(1 500 – 350) / 2 500 = 1 150 / 2 500</w:t>
            </w:r>
          </w:p>
        </w:tc>
        <w:tc>
          <w:tcPr>
            <w:tcW w:type="dxa" w:w="2150"/>
            <w:tcMar>
              <w:top w:type="dxa" w:w="50"/>
              <w:left w:type="dxa" w:w="80"/>
              <w:bottom w:type="dxa" w:w="50"/>
              <w:right w:type="dxa" w:w="80"/>
            </w:tcMar>
          </w:tcPr>
          <w:p>
            <w:pPr>
              <w:spacing w:after="0"/>
              <w:jc w:val="right"/>
            </w:pPr>
            <w:r>
              <w:rPr>
                <w:rFonts w:ascii="Calibri" w:cs="Calibri" w:eastAsia="Calibri" w:hAnsi="Calibri"/>
                <w:sz w:val="17"/>
                <w:szCs w:val="17"/>
              </w:rPr>
              <w:t xml:space="preserve">0,46</w:t>
            </w:r>
          </w:p>
        </w:tc>
      </w:tr>
      <w:tr>
        <w:tc>
          <w:tcPr>
            <w:tcW w:type="dxa" w:w="3000"/>
            <w:tcMar>
              <w:top w:type="dxa" w:w="50"/>
              <w:left w:type="dxa" w:w="80"/>
              <w:bottom w:type="dxa" w:w="50"/>
              <w:right w:type="dxa" w:w="80"/>
            </w:tcMar>
          </w:tcPr>
          <w:p>
            <w:pPr>
              <w:spacing w:after="0"/>
            </w:pPr>
            <w:r>
              <w:rPr>
                <w:rFonts w:ascii="Calibri" w:cs="Calibri" w:eastAsia="Calibri" w:hAnsi="Calibri"/>
                <w:sz w:val="17"/>
                <w:szCs w:val="17"/>
              </w:rPr>
              <w:t xml:space="preserve">Működésbiztonsági mutató</w:t>
            </w:r>
          </w:p>
        </w:tc>
        <w:tc>
          <w:tcPr>
            <w:tcW w:type="dxa" w:w="4200"/>
            <w:tcMar>
              <w:top w:type="dxa" w:w="50"/>
              <w:left w:type="dxa" w:w="80"/>
              <w:bottom w:type="dxa" w:w="50"/>
              <w:right w:type="dxa" w:w="80"/>
            </w:tcMar>
          </w:tcPr>
          <w:p>
            <w:pPr>
              <w:spacing w:after="0"/>
            </w:pPr>
            <w:r>
              <w:rPr>
                <w:rFonts w:ascii="Calibri" w:cs="Calibri" w:eastAsia="Calibri" w:hAnsi="Calibri"/>
                <w:sz w:val="17"/>
                <w:szCs w:val="17"/>
              </w:rPr>
              <w:t xml:space="preserve">(400 + 2 100) / 3 450 = 2 500 / 3 450</w:t>
            </w:r>
          </w:p>
        </w:tc>
        <w:tc>
          <w:tcPr>
            <w:tcW w:type="dxa" w:w="2150"/>
            <w:tcMar>
              <w:top w:type="dxa" w:w="50"/>
              <w:left w:type="dxa" w:w="80"/>
              <w:bottom w:type="dxa" w:w="50"/>
              <w:right w:type="dxa" w:w="80"/>
            </w:tcMar>
          </w:tcPr>
          <w:p>
            <w:pPr>
              <w:spacing w:after="0"/>
              <w:jc w:val="right"/>
            </w:pPr>
            <w:r>
              <w:rPr>
                <w:rFonts w:ascii="Calibri" w:cs="Calibri" w:eastAsia="Calibri" w:hAnsi="Calibri"/>
                <w:sz w:val="17"/>
                <w:szCs w:val="17"/>
              </w:rPr>
              <w:t xml:space="preserve">0,725</w:t>
            </w:r>
          </w:p>
        </w:tc>
      </w:tr>
    </w:tbl>
    <w:p>
      <w:pPr>
        <w:spacing w:after="110"/>
      </w:pPr>
      <w:r>
        <w:rPr>
          <w:rFonts w:ascii="Calibri" w:cs="Calibri" w:eastAsia="Calibri" w:hAnsi="Calibri"/>
          <w:b/>
          <w:bCs/>
          <w:sz w:val="20"/>
          <w:szCs w:val="20"/>
        </w:rPr>
        <w:t xml:space="preserve">A hosszú lejáratú kötelezettségek levezetése: </w:t>
      </w:r>
      <w:r>
        <w:rPr>
          <w:rFonts w:ascii="Calibri" w:cs="Calibri" w:eastAsia="Calibri" w:hAnsi="Calibri"/>
          <w:sz w:val="20"/>
          <w:szCs w:val="20"/>
        </w:rPr>
        <w:t xml:space="preserve">5 000 (források) – 400 (saját tőke) – 2 300 (rövid lejáratú kötelezettségek) – 140 (céltartalék) – 60 (passzív időbeli elhatárolás) = 2 100 M Ft. A forgóeszközök: 5 000 – 3 450 (befektetett eszközök) – 50 (aktív időbeli elhatárolás) = 1 500 M Ft.</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Mind az öt mutató értéke helyes. A kulcs a likviditási mutatók nevezőjében a rövid lejáratú kötelezettségeket a céltartalékkal és a passzív időbeli elhatárolással is megnöveli – ez a szigorúbb, konzervatívabb változat; a kulcs kifejezetten részpontot ad az egyszerűbb (csak RLK-s) nevezőre is.</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működésbiztonsági mutató képlete a kulcsban zárójelezési hibával szerepel: „400 + (5 000 – 400 – 2 300 – 140 – 60)/3 450 = 2 500/3 450”. A helyes írásmód: [400 + (5 000 – 400 – 2 300 – 140 – 60)] / 3 450. Az eredmény (0,725) így is helyes.</w:t>
      </w:r>
    </w:p>
    <w:p>
      <w:pPr>
        <w:spacing w:after="120"/>
      </w:pPr>
    </w:p>
    <w:p>
      <w:pPr>
        <w:pStyle w:val="Heading2"/>
      </w:pPr>
      <w:r>
        <w:t xml:space="preserve">3c) Saját termelésű készletek elszámoló áras nyilvántartása (20 pont)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100"/>
        <w:gridCol w:w="5200"/>
        <w:gridCol w:w="3050"/>
      </w:tblGrid>
      <w:tr>
        <w:trPr>
          <w:tblHeader/>
        </w:trPr>
        <w:tc>
          <w:tcPr>
            <w:tcW w:type="dxa" w:w="11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Sorszám</w:t>
            </w:r>
          </w:p>
        </w:tc>
        <w:tc>
          <w:tcPr>
            <w:tcW w:type="dxa" w:w="5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Gazdasági esemény</w:t>
            </w:r>
          </w:p>
        </w:tc>
        <w:tc>
          <w:tcPr>
            <w:tcW w:type="dxa" w:w="30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Összeg (mFt)</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0.</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Nyitó befejezetlen termelés átvezetése a közvetlen költségek közé</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20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1.</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Elkészült késztermékek raktárra vétele nyilvántartási (elszámoló) áron</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600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2.</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közvetlen költségek átvezetése az STK elszámolási számlára (lásd a megjegyzést!)</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630 / 720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3.</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Készletérték-különbözet átvezetése (630 – 600)</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30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4.</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Késztermék értékesítése nyilvántartási áron</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650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5.</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Az értékesítésre jutó KÉK (650 × 0,06)</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39</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6.</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Késztermék értékesítés eladási áron + áfa (a 9. eseményből visszaszámolva)</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1 000 + 250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7.</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10%-os visszaküldés utókalkulált közvetlen önköltségen</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65</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8.</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visszaküldésre jutó KÉK (39 × 0,1)</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3,9</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9.</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Visszaküldés eladási áron + áfa</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100 + 25</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10.</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Utólag adott, számlázott engedmény + áfa</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40 + 10</w:t>
            </w:r>
          </w:p>
        </w:tc>
      </w:tr>
      <w:tr>
        <w:tc>
          <w:tcPr>
            <w:tcW w:type="dxa" w:w="1100"/>
            <w:tcMar>
              <w:top w:type="dxa" w:w="50"/>
              <w:left w:type="dxa" w:w="80"/>
              <w:bottom w:type="dxa" w:w="50"/>
              <w:right w:type="dxa" w:w="80"/>
            </w:tcMar>
          </w:tcPr>
          <w:p>
            <w:pPr>
              <w:spacing w:after="0"/>
            </w:pPr>
            <w:r>
              <w:rPr>
                <w:rFonts w:ascii="Calibri" w:cs="Calibri" w:eastAsia="Calibri" w:hAnsi="Calibri"/>
                <w:sz w:val="17"/>
                <w:szCs w:val="17"/>
              </w:rPr>
              <w:t xml:space="preserve">11.</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Záró befejezetlen termelés átvezetése</w:t>
            </w:r>
          </w:p>
        </w:tc>
        <w:tc>
          <w:tcPr>
            <w:tcW w:type="dxa" w:w="3050"/>
            <w:tcMar>
              <w:top w:type="dxa" w:w="50"/>
              <w:left w:type="dxa" w:w="80"/>
              <w:bottom w:type="dxa" w:w="50"/>
              <w:right w:type="dxa" w:w="80"/>
            </w:tcMar>
          </w:tcPr>
          <w:p>
            <w:pPr>
              <w:spacing w:after="0"/>
              <w:jc w:val="right"/>
            </w:pPr>
            <w:r>
              <w:rPr>
                <w:rFonts w:ascii="Calibri" w:cs="Calibri" w:eastAsia="Calibri" w:hAnsi="Calibri"/>
                <w:sz w:val="17"/>
                <w:szCs w:val="17"/>
              </w:rPr>
              <w:t xml:space="preserve">90</w:t>
            </w:r>
          </w:p>
        </w:tc>
      </w:tr>
    </w:tbl>
    <w:p>
      <w:pPr>
        <w:spacing w:after="110"/>
      </w:pPr>
      <w:r>
        <w:rPr>
          <w:rFonts w:ascii="Calibri" w:cs="Calibri" w:eastAsia="Calibri" w:hAnsi="Calibri"/>
          <w:b/>
          <w:bCs/>
          <w:sz w:val="20"/>
          <w:szCs w:val="20"/>
        </w:rPr>
        <w:t xml:space="preserve">A készletérték-különbözeti kulcs: </w:t>
      </w:r>
      <w:r>
        <w:rPr>
          <w:rFonts w:ascii="Calibri" w:cs="Calibri" w:eastAsia="Calibri" w:hAnsi="Calibri"/>
          <w:sz w:val="20"/>
          <w:szCs w:val="20"/>
        </w:rPr>
        <w:t xml:space="preserve">KÉK arány = (nyitó KÉK + tárgyévi KÉK) / (nyitó nyilvántartási érték + tárgyévi raktárra vétel) = (12 + 30) / (100 + 600) = 42 / 700 = 6%. Az értékesítésre jutó KÉK ezért 650 × 0,06 = 39 mFt, a visszaküldésre jutó ennek 10%-a, 3,9 mFt.</w:t>
      </w:r>
    </w:p>
    <w:p>
      <w:pPr>
        <w:spacing w:after="120"/>
      </w:pP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megoldókulcs számlavázlata nem zár. A „7. Késztermék közvetlen költségei” számla tartozik oldalán 0. 20 + F. 700 = 720 mFt áll, követel oldalán viszont csak 2. 630 mFt – 90 mFt egyenleg marad benne. Ezzel egyidejűleg a „7. STK elszámolási számla” tartozik oldalán 630, követel oldalán 1. 600 + 3. 30 + 11. 90 = 720 mFt szerepel – ugyanaz a 90 mFt hiányzik, fordított előjellel.</w:t>
      </w:r>
    </w:p>
    <w:p>
      <w:pPr>
        <w:spacing w:after="110"/>
      </w:pPr>
      <w:r>
        <w:rPr>
          <w:rFonts w:ascii="Calibri" w:cs="Calibri" w:eastAsia="Calibri" w:hAnsi="Calibri"/>
          <w:b/>
          <w:bCs/>
          <w:sz w:val="20"/>
          <w:szCs w:val="20"/>
        </w:rPr>
        <w:t xml:space="preserve">A belső ellentmondás oka: </w:t>
      </w:r>
      <w:r>
        <w:rPr>
          <w:rFonts w:ascii="Calibri" w:cs="Calibri" w:eastAsia="Calibri" w:hAnsi="Calibri"/>
          <w:sz w:val="20"/>
          <w:szCs w:val="20"/>
        </w:rPr>
        <w:t xml:space="preserve">a kulcs a 2. tételt az elkészült késztermékek utókalkulált önköltségével (630 = 20 + 700 – 90) könyveli, tehát a záró befejezetlen 90 mFt-ját már levonja a közvetlen költségek közül – ugyanakkor a 11. tételt (90 mFt) mégis az STK elszámolási számlán mutatja ki. A két megoldás közül csak az egyik lehet érvényes.</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500"/>
        <w:gridCol w:w="4850"/>
      </w:tblGrid>
      <w:tr>
        <w:trPr>
          <w:tblHeader/>
        </w:trPr>
        <w:tc>
          <w:tcPr>
            <w:tcW w:type="dxa" w:w="4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Megoldás</w:t>
            </w:r>
          </w:p>
        </w:tc>
        <w:tc>
          <w:tcPr>
            <w:tcW w:type="dxa" w:w="48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Tartalma</w:t>
            </w:r>
          </w:p>
        </w:tc>
      </w:tr>
      <w:tr>
        <w:tc>
          <w:tcPr>
            <w:tcW w:type="dxa" w:w="4500"/>
            <w:tcMar>
              <w:top w:type="dxa" w:w="50"/>
              <w:left w:type="dxa" w:w="80"/>
              <w:bottom w:type="dxa" w:w="50"/>
              <w:right w:type="dxa" w:w="80"/>
            </w:tcMar>
          </w:tcPr>
          <w:p>
            <w:pPr>
              <w:spacing w:after="0"/>
            </w:pPr>
            <w:r>
              <w:rPr>
                <w:rFonts w:ascii="Calibri" w:cs="Calibri" w:eastAsia="Calibri" w:hAnsi="Calibri"/>
                <w:sz w:val="17"/>
                <w:szCs w:val="17"/>
              </w:rPr>
              <w:t xml:space="preserve">A) A feladatlap előnyomott vázlatával összhangban lévő változat (ez az ajánlott)</w:t>
            </w:r>
          </w:p>
        </w:tc>
        <w:tc>
          <w:tcPr>
            <w:tcW w:type="dxa" w:w="4850"/>
            <w:tcMar>
              <w:top w:type="dxa" w:w="50"/>
              <w:left w:type="dxa" w:w="80"/>
              <w:bottom w:type="dxa" w:w="50"/>
              <w:right w:type="dxa" w:w="80"/>
            </w:tcMar>
          </w:tcPr>
          <w:p>
            <w:pPr>
              <w:spacing w:after="0"/>
            </w:pPr>
            <w:r>
              <w:rPr>
                <w:rFonts w:ascii="Calibri" w:cs="Calibri" w:eastAsia="Calibri" w:hAnsi="Calibri"/>
                <w:sz w:val="17"/>
                <w:szCs w:val="17"/>
              </w:rPr>
              <w:t xml:space="preserve">A 2. tétel összege 720 mFt: a teljes közvetlen költséget (20 + 700) át kell vezetni az STK elszámolási számlára. Ekkor: közvetlen költségek T 720 = K 720 ✔; STK elszámolási számla T 720 = K 600 (1.) + 30 (3.) + 90 (11.) ✔. A késztermék utókalkulált önköltsége (720 – 90 = 630) és ebből a KÉK (630 – 600 = 30) a számlán egyenlegként adódik. A 11. tétel: T 2. Befejezetlen termelés – K 7. STK elszámolási számla 90.</w:t>
            </w:r>
          </w:p>
        </w:tc>
      </w:tr>
      <w:tr>
        <w:tc>
          <w:tcPr>
            <w:tcW w:type="dxa" w:w="4500"/>
            <w:tcMar>
              <w:top w:type="dxa" w:w="50"/>
              <w:left w:type="dxa" w:w="80"/>
              <w:bottom w:type="dxa" w:w="50"/>
              <w:right w:type="dxa" w:w="80"/>
            </w:tcMar>
          </w:tcPr>
          <w:p>
            <w:pPr>
              <w:spacing w:after="0"/>
            </w:pPr>
            <w:r>
              <w:rPr>
                <w:rFonts w:ascii="Calibri" w:cs="Calibri" w:eastAsia="Calibri" w:hAnsi="Calibri"/>
                <w:sz w:val="17"/>
                <w:szCs w:val="17"/>
              </w:rPr>
              <w:t xml:space="preserve">B) A kulcs 630-as összegét megtartó változat</w:t>
            </w:r>
          </w:p>
        </w:tc>
        <w:tc>
          <w:tcPr>
            <w:tcW w:type="dxa" w:w="4850"/>
            <w:tcMar>
              <w:top w:type="dxa" w:w="50"/>
              <w:left w:type="dxa" w:w="80"/>
              <w:bottom w:type="dxa" w:w="50"/>
              <w:right w:type="dxa" w:w="80"/>
            </w:tcMar>
          </w:tcPr>
          <w:p>
            <w:pPr>
              <w:spacing w:after="0"/>
            </w:pPr>
            <w:r>
              <w:rPr>
                <w:rFonts w:ascii="Calibri" w:cs="Calibri" w:eastAsia="Calibri" w:hAnsi="Calibri"/>
                <w:sz w:val="17"/>
                <w:szCs w:val="17"/>
              </w:rPr>
              <w:t xml:space="preserve">A 11. tételt át kell helyezni: T 2. Befejezetlen termelés – K 7. Késztermék közvetlen költségei 90. Ekkor a közvetlen költségek számlája zár (720 = 630 + 90), az STK elszámolási számla pedig 630 = 600 + 30. Ez viszont ellentmond a feladatlapon ELŐNYOMOTT „11. 90” tételnek, amely az STK elszámolási számla követel oldalán szerepel.</w:t>
            </w:r>
          </w:p>
        </w:tc>
      </w:tr>
    </w:tbl>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Vizsgán az A) változat a biztonságos: a feladatlap előnyomott adatai kötik a vizsgázót, és csak az A) változat mellett zár mind a két T-számla. A megoldókulcs 630-as összege tehát elírás (helyesen 720), a 630 mFt a késztermék utókalkulált önköltsége, nem a könyvelt átvezetés összege.</w:t>
      </w:r>
    </w:p>
    <w:p>
      <w:pPr>
        <w:spacing w:after="120"/>
      </w:pPr>
    </w:p>
    <w:p>
      <w:pPr>
        <w:spacing w:after="110"/>
      </w:pPr>
      <w:r>
        <w:rPr>
          <w:rFonts w:ascii="Calibri" w:cs="Calibri" w:eastAsia="Calibri" w:hAnsi="Calibri"/>
          <w:b/>
          <w:bCs/>
          <w:sz w:val="20"/>
          <w:szCs w:val="20"/>
        </w:rPr>
        <w:t xml:space="preserve">A többi számla ellenőrzése (mFt): </w:t>
      </w:r>
      <w:r>
        <w:rPr>
          <w:rFonts w:ascii="Calibri" w:cs="Calibri" w:eastAsia="Calibri" w:hAnsi="Calibri"/>
          <w:sz w:val="20"/>
          <w:szCs w:val="20"/>
        </w:rPr>
        <w:t xml:space="preserve">Késztermék nyilvántartási áron: Ny. 100 + 1. 600 + 7. 65 – 4. 650 = 115. Késztermék KÉK: Ny. 12 + 3. 30 + 8. 3,9 – 5. 39 = 6,9. Értékesítés elszámolt közvetlen önköltsége: 4. 650 + 5. 39 – 7. 65 – 8. 3,9 = 620,1. Belföldi értékesítés nettó árbevétele: 6. 1 000 – 9. 100 – 10. 40 = 860. Fizetendő áfa: 6. 250 – 9. 25 – 10. 10 = 215 = 860 × 0,25 ✔. Belföldi vevők: 6. 1 250 – 9. 125 – 10. 50 = 1 075 = 860 × 1,25 ✔. Befejezetlen termelés: Ny. 20 – 0. 20 + 11. 90 = 90 ✔.</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3c) feladat összes többi eleme (a KÉK-kulcs képzése, a visszaküldés és az engedmény kezelése, az eladási ár visszaszámítása a visszaküldés áfatartalmából) helyes és zárt.</w:t>
      </w:r>
    </w:p>
    <w:p>
      <w:pPr>
        <w:pStyle w:val="Heading1"/>
        <w:pageBreakBefore/>
      </w:pPr>
      <w:r>
        <w:t xml:space="preserve">4. Feladat – Teszt (25 perc, 12 pont)</w:t>
      </w:r>
    </w:p>
    <w:p>
      <w:pPr>
        <w:spacing w:after="110"/>
      </w:pPr>
      <w:r>
        <w:rPr>
          <w:rFonts w:ascii="Calibri" w:cs="Calibri" w:eastAsia="Calibri" w:hAnsi="Calibri"/>
          <w:b/>
          <w:bCs/>
          <w:sz w:val="20"/>
          <w:szCs w:val="20"/>
        </w:rPr>
        <w:t xml:space="preserve">A hivatalos kulcs (a megoldásos PDF 8–9. oldalán félkövérrel kiemelve): </w:t>
      </w:r>
      <w:r>
        <w:rPr>
          <w:rFonts w:ascii="Calibri" w:cs="Calibri" w:eastAsia="Calibri" w:hAnsi="Calibri"/>
          <w:sz w:val="20"/>
          <w:szCs w:val="20"/>
        </w:rPr>
        <w:t xml:space="preserve">1. d) · 2. c) · 3. c) · 4. d) · 5. a) · 6. c) · 7. b) · 8. a) · 9. c) · 10. a) és d) · 11. c). Összesen 12 jelölés = 12 pont.</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9. kérdésnél a kulcs egyetlen választ jelöl (c)); a 10. kérdésnél kettőt (a) és d)) – így jön ki a 12 jelölés a 11 kérdésre. Az alábbi elemzés kérdésenként végigmegy az állításokon.</w:t>
      </w:r>
    </w:p>
    <w:p>
      <w:pPr>
        <w:spacing w:after="120"/>
      </w:pPr>
    </w:p>
    <w:p>
      <w:pPr>
        <w:pStyle w:val="Heading2"/>
      </w:pPr>
      <w:r>
        <w:t xml:space="preserve">1. kérdés – Mely megállapítások felelnek meg a hatályos Szt.-nek? (kulcs: 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00"/>
        <w:gridCol w:w="5200"/>
        <w:gridCol w:w="3250"/>
      </w:tblGrid>
      <w:tr>
        <w:trPr>
          <w:tblHeader/>
        </w:trPr>
        <w:tc>
          <w:tcPr>
            <w:tcW w:type="dxa" w:w="9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Válasz</w:t>
            </w:r>
          </w:p>
        </w:tc>
        <w:tc>
          <w:tcPr>
            <w:tcW w:type="dxa" w:w="5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Állítás</w:t>
            </w:r>
          </w:p>
        </w:tc>
        <w:tc>
          <w:tcPr>
            <w:tcW w:type="dxa" w:w="3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Értékelés</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a)</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Passzív időbeli elhatárolás a teljesítési fok arányos összegének az árbevételt meghaladó része</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32. § (8): ez AKTÍV időbeli elhatárolás. A 44. § (7) fordítva rendelkezik: passzív elhatárolás az elszámolt árbevételnek a teljesítési fok arányos összeget meghaladó része.</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b)</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Céltartalékot lehet képezni a korengedményes nyugdíjakra</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41. § (1): céltartalékot KELL képezni, és a hatályos szöveg a „korhatár előtti ellátás” kifejezést használja (a korengedményes nyugdíj intézménye megszűnt).</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c)</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Egyéb hosszú lejáratú kötelezettségek között nem lehet kimutatni a pénzügyi lízing kötelezettségeit</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42. § (5): „Egyéb hosszú lejáratú kötelezettségként KELL kimutatni a lízingbe vevőnél a pénzügyi lízingbe vett, beruházásként elszámolt eszköz … ellenértékének megfelelő kötelezettséget.”</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d)</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jogutód vagyonmérlegében az eredménytartalékban kell kimutatni a korábbi pótbefizetés elengedését</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IGAZ – Szt. 139. § (2) e): a különbözetek oszlopában kell szerepeltetni „a jogelőd gazdasági társaság tagjánál … a lemondott pótbefizetés eredménytartalékba történő átvezetését”.</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e)</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Az egyszerűsített éves beszámolót készítő nem térhet el a törvény tételes előírásaitól</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4. § (4): a törvény előírásaitól kivételes esetben, a könyvvizsgáló egyetértése mellett el lehet térni; a Szt. 96. § (4b) bekezdése kifejezetten számol azzal, hogy az egyszerűsített éves beszámolót készítő vállalkozó él ezzel a lehetőséggel.</w:t>
            </w:r>
          </w:p>
        </w:tc>
      </w:tr>
    </w:tbl>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kulcs d) válasza helyes, a másik négy állítás cáfolható. Ez a kérdés 1 pontot ér.</w:t>
      </w:r>
    </w:p>
    <w:p>
      <w:pPr>
        <w:spacing w:after="120"/>
      </w:pPr>
    </w:p>
    <w:p>
      <w:pPr>
        <w:pStyle w:val="Heading2"/>
      </w:pPr>
      <w:r>
        <w:t xml:space="preserve">2. kérdés – Házipénztárban lévő valuta év végi értékelése (kulcs: c)</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60. § (2): a valutakészletet, a devizaszámlán lévő devizát „a mérlegfordulónapra vonatkozó – (4) bekezdés szerinti – devizaárfolyamon átszámított forintértéken kell kimutatni”. Szt. 60. § (4): a választható árfolyam a választott hitelintézet deviza vételi és eladási árfolyamának átlaga, vagy az MNB, illetve az EKB által közzétett hivatalos devizaárfolyam.</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c) („a fordulónapi választott devizaárfolyamára kell átértékelni”) a helyes válasz. Az a) azért hamis, mert a Szt. nem valuta vételi, hanem deviza-árfolyamokkal dolgozik, és nem kizárólag a vételivel; a b) és a d) pedig nem a fordulónapi árfolyamot használja.</w:t>
      </w:r>
    </w:p>
    <w:p>
      <w:pPr>
        <w:spacing w:after="120"/>
      </w:pPr>
    </w:p>
    <w:p>
      <w:pPr>
        <w:pStyle w:val="Heading2"/>
      </w:pPr>
      <w:r>
        <w:t xml:space="preserve">3. kérdés – Aktivált saját teljesítmények értéke (kulcs: c)</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400"/>
        <w:gridCol w:w="3950"/>
      </w:tblGrid>
      <w:tr>
        <w:trPr>
          <w:tblHeader/>
        </w:trPr>
        <w:tc>
          <w:tcPr>
            <w:tcW w:type="dxa" w:w="54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Levezetés</w:t>
            </w:r>
          </w:p>
        </w:tc>
        <w:tc>
          <w:tcPr>
            <w:tcW w:type="dxa" w:w="39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M Ft</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Értékesítés közvetlen költségei = nettó árbevétel – bruttó eredmény = 1 000 – 500</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500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Értékesítés költsége = közvetlen költségek + közvetett költségek = 500 + 200</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700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Termelési költség = anyagjellegű + személyi jellegű + écs = 350 + 200 + 100</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650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AST = termelési költség – értékesítés költsége = 650 – 700</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–50</w:t>
            </w:r>
          </w:p>
        </w:tc>
      </w:tr>
    </w:tbl>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c) (–50 M Ft) helyes. Az egyéb bevételek (80) és az egyéb ráfordítások (60) elterelő adatok: az aktivált saját teljesítmények értéke az összköltség és a forgalmi költség eljárású eredménykimutatás költségtömegének különbözetéből adódik, ezek a tételek mindkettőben azonosan szerepelnek.</w:t>
      </w: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feladatlap elírást tartalmaz: a b) és a d) válasz szövege azonos („100 M Ft”). Ez a helyes válaszra nincs hatással, de a feladatlap hibája.</w:t>
      </w:r>
    </w:p>
    <w:p>
      <w:pPr>
        <w:spacing w:after="120"/>
      </w:pPr>
    </w:p>
    <w:p>
      <w:pPr>
        <w:pStyle w:val="Heading2"/>
      </w:pPr>
      <w:r>
        <w:t xml:space="preserve">4. kérdés – Lízingtárgy visszaadásakor mikor kell a terv szerinti écs-t korrigálni? (kulcs: d)</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d) („ha a lízingtárgy visszavételi értéke meghaladja a könyv szerinti értéket”) helyes: ekkor derül ki, hogy a lízingbe vevő túl gyorsan írta le az eszközt, azaz a terv szerinti értékcsökkenés a tényleges elhasználódásnál nagyobb volt, ezért a különbözettel korrigálni kell. Fordított esetben (c)) nem korrekció, hanem terven felüli értékcsökkenés elszámolása merül fel.</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nyílt végű és a zárt végű pénzügyi lízing megkülönböztetése (a) és b)) önmagában nem dönti el a kérdést: a korrekció szükségességét a visszavételi érték és a könyv szerinti érték viszonya határozza meg, nem a lízing típusa. Ugyanez a kérdés a 2024. június 12-i vizsgasor 2. eseményében is előkerült.</w:t>
      </w:r>
    </w:p>
    <w:p>
      <w:pPr>
        <w:spacing w:after="120"/>
      </w:pPr>
    </w:p>
    <w:p>
      <w:pPr>
        <w:pStyle w:val="Heading2"/>
      </w:pPr>
      <w:r>
        <w:t xml:space="preserve">5. kérdés – Maximálisan kifizethető osztalék (kulcs: a) 3 000 eFt – HIBÁS)</w:t>
      </w:r>
    </w:p>
    <w:p>
      <w:pPr>
        <w:spacing w:after="110"/>
      </w:pPr>
      <w:r>
        <w:rPr>
          <w:rFonts w:ascii="Calibri" w:cs="Calibri" w:eastAsia="Calibri" w:hAnsi="Calibri"/>
          <w:sz w:val="20"/>
          <w:szCs w:val="20"/>
        </w:rPr>
        <w:t xml:space="preserve">Adatok: jegyzett tőke 20 000; tőketartalék 10 000; jegyzett, de még be nem fizetett tőke 8 000 (ebből 6 000 apport, 2 000 pénzbefizetés); eredménytartalék –13 000; tárgyévi adózott eredmény 15 000; lekötött tartalék 6 000; mérlegkészítésig elszámolt járó osztalék 4 000; értékelési tartalék –7 000 eFt.</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35. § (2): „A saját tőke a – jegyzett, de még be nem fizetett tőkével csökkentett – jegyzett tőkéből, a tőketartalékból, az eredménytartalékból, a lekötött tartalékból, az értékelési tartalékból és a tárgyév adózott eredményéből tevődik össze.” Szt. 39. § (3): „Az előző üzleti évi adózott eredménnyel kiegészített szabad eredménytartalék akkor fizethető ki osztalékként …, ha a lekötött tartalékkal, továbbá a pozitív értékelési tartalékkal csökkentett saját tőke összege az osztalék … figyelembevétele (kifizetése) után sem csökken a jegyzett tőke összege alá.” Szt. 39. § (3a): a szabad eredménytartalék és a saját tőke meghatározásánál „növelő tételként figyelembe lehet venni … a mérlegkészítés időpontjáig elszámolt, a 84. § (1) bekezdés szerinti kapott (járó) osztalék, részesedés összegét”.</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400"/>
        <w:gridCol w:w="3950"/>
      </w:tblGrid>
      <w:tr>
        <w:trPr>
          <w:tblHeader/>
        </w:trPr>
        <w:tc>
          <w:tcPr>
            <w:tcW w:type="dxa" w:w="54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 saját tőke levezetése</w:t>
            </w:r>
          </w:p>
        </w:tc>
        <w:tc>
          <w:tcPr>
            <w:tcW w:type="dxa" w:w="39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Jegyzett tőke</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20 000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Jegyzett, de még be nem fizetett tőke (a TELJES összeg)</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–8 000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Tőketartalék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10 000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Eredménytartalék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–13 000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Lekötött tartalék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6 000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Értékelési tartalék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–7 000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Tárgyévi adózott eredmény</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15 000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Saját tőke</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23 000</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400"/>
        <w:gridCol w:w="3950"/>
      </w:tblGrid>
      <w:tr>
        <w:trPr>
          <w:tblHeader/>
        </w:trPr>
        <w:tc>
          <w:tcPr>
            <w:tcW w:type="dxa" w:w="54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Az osztalékfizetési korlát [39. § (3)–(3a)]</w:t>
            </w:r>
          </w:p>
        </w:tc>
        <w:tc>
          <w:tcPr>
            <w:tcW w:type="dxa" w:w="39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eFt</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Saját tőke</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23 000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Mérlegkészítésig elszámolt járó osztalék [39. § (3a)]</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4 000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Lekötött tartalék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–6 000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Pozitív értékelési tartalék (az értékelési tartalék negatív, ezért 0)</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Korrigált saját tőke</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21 000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 Jegyzett tőke (ez alá nem csökkenhet)</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–20 000</w:t>
            </w:r>
          </w:p>
        </w:tc>
      </w:tr>
      <w:tr>
        <w:tc>
          <w:tcPr>
            <w:tcW w:type="dxa" w:w="5400"/>
            <w:tcMar>
              <w:top w:type="dxa" w:w="50"/>
              <w:left w:type="dxa" w:w="80"/>
              <w:bottom w:type="dxa" w:w="50"/>
              <w:right w:type="dxa" w:w="80"/>
            </w:tcMar>
          </w:tcPr>
          <w:p>
            <w:pPr>
              <w:spacing w:after="0"/>
            </w:pPr>
            <w:r>
              <w:rPr>
                <w:rFonts w:ascii="Calibri" w:cs="Calibri" w:eastAsia="Calibri" w:hAnsi="Calibri"/>
                <w:sz w:val="17"/>
                <w:szCs w:val="17"/>
              </w:rPr>
              <w:t xml:space="preserve">MAXIMÁLISAN KIFIZETHETŐ OSZTALÉK</w:t>
            </w:r>
          </w:p>
        </w:tc>
        <w:tc>
          <w:tcPr>
            <w:tcW w:type="dxa" w:w="3950"/>
            <w:tcMar>
              <w:top w:type="dxa" w:w="50"/>
              <w:left w:type="dxa" w:w="80"/>
              <w:bottom w:type="dxa" w:w="50"/>
              <w:right w:type="dxa" w:w="80"/>
            </w:tcMar>
          </w:tcPr>
          <w:p>
            <w:pPr>
              <w:spacing w:after="0"/>
              <w:jc w:val="right"/>
            </w:pPr>
            <w:r>
              <w:rPr>
                <w:rFonts w:ascii="Calibri" w:cs="Calibri" w:eastAsia="Calibri" w:hAnsi="Calibri"/>
                <w:sz w:val="17"/>
                <w:szCs w:val="17"/>
              </w:rPr>
              <w:t xml:space="preserve">1 000</w:t>
            </w:r>
          </w:p>
        </w:tc>
      </w:tr>
    </w:tbl>
    <w:p>
      <w:pPr>
        <w:spacing w:after="110"/>
      </w:pPr>
      <w:r>
        <w:rPr>
          <w:rFonts w:ascii="Calibri" w:cs="Calibri" w:eastAsia="Calibri" w:hAnsi="Calibri"/>
          <w:b/>
          <w:bCs/>
          <w:sz w:val="20"/>
          <w:szCs w:val="20"/>
        </w:rPr>
        <w:t xml:space="preserve">A másik korlát (szabad eredménytartalék + adózott eredmény): </w:t>
      </w:r>
      <w:r>
        <w:rPr>
          <w:rFonts w:ascii="Calibri" w:cs="Calibri" w:eastAsia="Calibri" w:hAnsi="Calibri"/>
          <w:sz w:val="20"/>
          <w:szCs w:val="20"/>
        </w:rPr>
        <w:t xml:space="preserve">–13 000 + 15 000 = 2 000 eFt, a járó osztalékkal kiegészítve 6 000 eFt. A szűkebb korlát tehát a saját tőke korlát, azaz 1 000 eFt.</w:t>
      </w:r>
    </w:p>
    <w:p>
      <w:pPr>
        <w:spacing w:after="110"/>
      </w:pPr>
      <w:r>
        <w:rPr>
          <w:rFonts w:ascii="Calibri" w:cs="Calibri" w:eastAsia="Calibri" w:hAnsi="Calibri"/>
          <w:b/>
          <w:bCs/>
          <w:color w:val="C00000"/>
          <w:sz w:val="20"/>
          <w:szCs w:val="20"/>
        </w:rPr>
        <w:t xml:space="preserve">✘ Hiba a megoldókulcsban: </w:t>
      </w:r>
      <w:r>
        <w:rPr>
          <w:rFonts w:ascii="Calibri" w:cs="Calibri" w:eastAsia="Calibri" w:hAnsi="Calibri"/>
          <w:sz w:val="20"/>
          <w:szCs w:val="20"/>
        </w:rPr>
        <w:t xml:space="preserve">A kulcs 3 000 eFt-ot ad, és a levezetése – „(–13 ET + 15 AE + 4 JO – 6 JD – 7 ÉT + 10 TT = 3 000 eFt)” – a jegyzett, de még be nem fizetett tőkéből csak a 6 000 eFt apportot vonja le, a 2 000 eFt pénzbeli részt nem. A Szt. 35. § (2) bekezdése viszont a saját tőkét a jegyzett, de még be nem fizetett tőke TELJES összegével csökkenti; a törvény nem különbözteti meg az apportot és a pénzbeli hozzájárulást. A helyes eredmény 1 000 eFt, ami nem szerepel a válaszlehetőségek között, ezért a helyes válasz az e) „Nincs jó válasz”.</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Az „ebből 6 000 eFt apport, 2 000 eFt pénzbefizetés” megbontás a feladatban elterelő adat – és éppen ez az, amire a kulcs ráfutott. Ha valaki a 39. § (3a) szerinti választható növelő tételt (a járó osztalékot) nem venné figyelembe, a korrigált saját tőke 17 000 eFt lenne, azaz osztalék egyáltalán nem lenne fizethető – ekkor is az e) válasz a helyes.</w:t>
      </w:r>
    </w:p>
    <w:p>
      <w:pPr>
        <w:spacing w:after="120"/>
      </w:pPr>
    </w:p>
    <w:p>
      <w:pPr>
        <w:pStyle w:val="Heading2"/>
      </w:pPr>
      <w:r>
        <w:t xml:space="preserve">6. kérdés – Saját termelésű készletek állományváltozása (kulcs: c)</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c) helyes: ha az állományváltozás pozitív (a készlet nő), akkor minél nagyobb az önköltségtartalma, annál nagyobb a bevételként elszámolt saját termelésű készletek állományváltozása, tehát annál nagyobb a tárgyévi eredmény. Az a) és a d) ugyanennek a helyzetnek a fordítottját állítja, a b) és az e) pedig negatív állományváltozásra fogalmaz meg téves állítást (negatív állományváltozásnál a nagyobb önköltségtartalom nagyobb ráfordítást, azaz kisebb eredményt jelent).</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Itt – szemben a 2024. június 12-i vizsgasor hasonló kérdésével – valóban csak egyetlen állítás igaz.</w:t>
      </w:r>
    </w:p>
    <w:p>
      <w:pPr>
        <w:spacing w:after="120"/>
      </w:pPr>
    </w:p>
    <w:p>
      <w:pPr>
        <w:pStyle w:val="Heading2"/>
      </w:pPr>
      <w:r>
        <w:t xml:space="preserve">7. kérdés – Mit kell minden esetben bemutatni a kiegészítő mellékletben? (kulcs: b)</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00"/>
        <w:gridCol w:w="5200"/>
        <w:gridCol w:w="3250"/>
      </w:tblGrid>
      <w:tr>
        <w:trPr>
          <w:tblHeader/>
        </w:trPr>
        <w:tc>
          <w:tcPr>
            <w:tcW w:type="dxa" w:w="9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Válasz</w:t>
            </w:r>
          </w:p>
        </w:tc>
        <w:tc>
          <w:tcPr>
            <w:tcW w:type="dxa" w:w="5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Állítás</w:t>
            </w:r>
          </w:p>
        </w:tc>
        <w:tc>
          <w:tcPr>
            <w:tcW w:type="dxa" w:w="3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Értékelés</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a)</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belföldi értékesítés nettó árbevétele tevékenységenként</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93. § (1) b): az értékesítés nettó árbevételét főbb tevékenységenkénti megbontásban kell bemutatni, de csak „amennyiben az egyes tevékenységek, szolgáltatások jelentősen különböznek egymástól” – tehát nem minden esetben. A törvény ráadásul a teljes értékesítés nettó árbevételéről szól, nem kifejezetten a belföldiről.</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b)</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könyvvizsgáló által a nem könyvvizsgálói szolgáltatásokért felszámított díjak</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IGAZ – Szt. 88. § (8) b): a kiegészítő mellékletben be kell mutatni az üzleti évre a könyvvizsgáló által felszámított díjat jogcímenként (egyéb bizonyosságot nyújtó szolgáltatások, adótanácsadói szolgáltatások, egyéb, nem könyvvizsgálói szolgáltatások).</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c)</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Az adózott eredmény felhasználására vonatkozó tulajdonosi döntés</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88. § (7): a kiegészítő mellékletben az adózott eredmény felhasználására vonatkozó JAVASLATOT kell bemutatni, nem a döntést (a beszámoló elfogadásakor a döntés még nem született meg).</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d)</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költségek, ráfordítások aktív időbeli elhatárolásának jelentősebb összegei</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Szt. 90. § (1): a kiegészítő mellékletnek négy tétel jelentősebb összegeit kell tartalmaznia: a) a bevételek AKTÍV időbeli elhatárolása, b) a halasztott ráfordítások, c) a költségek, ráfordítások PASSZÍV időbeli elhatárolása, d) a halasztott bevételek. A költségek, ráfordítások AKTÍV időbeli elhatárolása nem szerepel a felsorolásban.</w:t>
            </w:r>
          </w:p>
        </w:tc>
      </w:tr>
    </w:tbl>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d) válasz éppen a 90. § (1) a) és c) pontjának „keresztezése” – a jellegzetes vizsgacsapda. Érdemes megjegyezni a négy tételt: bevételek AIE, halasztott ráfordítás, költségek PIE, halasztott bevétel.</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kulcs b) válasza a Szt. 88. § (8) b) pontjának szó szerinti tartalma: kötelező könyvvizsgálat esetén be kell mutatni a könyvvizsgáló által „az egyéb bizonyosságot nyújtó szolgáltatásokért, az adótanácsadói szolgáltatásokért és az egyéb, nem könyvvizsgálói szolgáltatásokért” felszámított díjat.</w:t>
      </w:r>
    </w:p>
    <w:p>
      <w:pPr>
        <w:spacing w:after="120"/>
      </w:pPr>
    </w:p>
    <w:p>
      <w:pPr>
        <w:pStyle w:val="Heading2"/>
      </w:pPr>
      <w:r>
        <w:t xml:space="preserve">8. kérdés – Kiterjesztett gyártói felelősségi díj (kulcs: a)</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3. § (7) 1.: „igénybe vett szolgáltatás: minden olyan szolgáltatás, amely nem tartozik a közvetített szolgáltatás, illetve az egyéb szolgáltatás körébe; így különösen az utazásszervezés, a szállítás-rakodás, a raktározás, a csomagolás, a kölcsönzés, a bérlet, a bérmunka, az eszközök karbantartása, a postai és távközlési szolgáltatás, a mosás és vegytisztítás, a kötelező visszaváltási díj, a kiterjesztett gyártói felelősség, a bizományi tevékenység, az ügynöki tevékenység, az oktatás és továbbképzés, a hirdetés, a reklám és propaganda tevékenység, a kutatás és kísérleti fejlesztés, a piackutatás, a könyvkiadás, a lapkiadás, a szakértői tevékenység, a hitelvizsgálat, a kiszervezett tevékenység.”</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Az a) válasz szó szerint követi a törvényi meghatározást: a koncessziós társaság számlája alapján fizetendő kiterjesztett gyártói felelősségi díj igénybe vett szolgáltatásként számolandó el.</w:t>
      </w:r>
    </w:p>
    <w:p>
      <w:pPr>
        <w:spacing w:after="110"/>
      </w:pPr>
      <w:r>
        <w:rPr>
          <w:rFonts w:ascii="Calibri" w:cs="Calibri" w:eastAsia="Calibri" w:hAnsi="Calibri"/>
          <w:b/>
          <w:bCs/>
          <w:color w:val="B26A00"/>
          <w:sz w:val="20"/>
          <w:szCs w:val="20"/>
        </w:rPr>
        <w:t xml:space="preserve">! Megjegyzés: </w:t>
      </w:r>
      <w:r>
        <w:rPr>
          <w:rFonts w:ascii="Calibri" w:cs="Calibri" w:eastAsia="Calibri" w:hAnsi="Calibri"/>
          <w:sz w:val="20"/>
          <w:szCs w:val="20"/>
        </w:rPr>
        <w:t xml:space="preserve">A kiterjesztett gyártói felelősség (EPR) fogalmát a Szt. 3. § (7) 1. pontjába a 2022. évi LXXXI. törvény iktatta be, tehát a 2023. októberi vizsganapon már hatályos volt. A szabály azóta nem változott, így nincs eltérés az „eredeti vizsgaidőszak” és a „jelenleg hatályos” állapot között.</w:t>
      </w:r>
    </w:p>
    <w:p>
      <w:pPr>
        <w:spacing w:after="110"/>
      </w:pPr>
      <w:r>
        <w:rPr>
          <w:rFonts w:ascii="Calibri" w:cs="Calibri" w:eastAsia="Calibri" w:hAnsi="Calibri"/>
          <w:b/>
          <w:bCs/>
          <w:color w:val="7B5CD6"/>
          <w:sz w:val="20"/>
          <w:szCs w:val="20"/>
        </w:rPr>
        <w:t xml:space="preserve">◆ Vitatható pont / alternatíva: </w:t>
      </w:r>
      <w:r>
        <w:rPr>
          <w:rFonts w:ascii="Calibri" w:cs="Calibri" w:eastAsia="Calibri" w:hAnsi="Calibri"/>
          <w:sz w:val="20"/>
          <w:szCs w:val="20"/>
        </w:rPr>
        <w:t xml:space="preserve">A c) („beruházás keretében való felhasználás miatt keletkező díjat a beruházásra kell aktiválni”) tartalmilag szintén védhető lenne a Szt. 47. § (2) d) pontjának logikája alapján (a bekerülési érték része a hatósági díj, a termékdíj és a visszaváltási díj), a törvény azonban a kiterjesztett gyártói felelősségi díjat nem sorolja fel a 47. § (2) d) pontjában, hanem kifejezetten az igénybe vett szolgáltatások között nevesíti. A kulcs egyválaszos megoldása ezért megalapozott.</w:t>
      </w:r>
    </w:p>
    <w:p>
      <w:pPr>
        <w:spacing w:after="120"/>
      </w:pPr>
    </w:p>
    <w:p>
      <w:pPr>
        <w:pStyle w:val="Heading2"/>
      </w:pPr>
      <w:r>
        <w:t xml:space="preserve">9. kérdés – Alapítvány tulajdoni részesedése oktatási intézményben (kulcs: c)</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27. § (4a): „Egyéb tartós tulajdoni részesedésként kell kimutatni az alapítványnál, a közalapítványnál, az egyesületnél és az egyéb szervezetnél az egészségügyi, szociális, kulturális és oktatási intézményben lévő tulajdoni részesedést.”</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c) („Egyéb tartós tulajdoni részesedésként”) a törvény szó szerinti szövege. Ez a rendelkezés speciális: az általános szabályok (kapcsolt vállalkozás, jelentős tulajdoni részesedés) helyett a szervezet típusa és az intézmény jellege dönt.</w:t>
      </w:r>
    </w:p>
    <w:p>
      <w:pPr>
        <w:spacing w:after="120"/>
      </w:pPr>
    </w:p>
    <w:p>
      <w:pPr>
        <w:pStyle w:val="Heading2"/>
      </w:pPr>
      <w:r>
        <w:t xml:space="preserve">10. kérdés – Cash flow-kimutatás önálló sorai (kulcs: a) és 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00"/>
        <w:gridCol w:w="5200"/>
        <w:gridCol w:w="3250"/>
      </w:tblGrid>
      <w:tr>
        <w:trPr>
          <w:tblHeader/>
        </w:trPr>
        <w:tc>
          <w:tcPr>
            <w:tcW w:type="dxa" w:w="9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Válasz</w:t>
            </w:r>
          </w:p>
        </w:tc>
        <w:tc>
          <w:tcPr>
            <w:tcW w:type="dxa" w:w="52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Állítás</w:t>
            </w:r>
          </w:p>
        </w:tc>
        <w:tc>
          <w:tcPr>
            <w:tcW w:type="dxa" w:w="32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Értékelés</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a)</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Részvénybevonás, tőkekivonás (tőkeleszállítás)</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IGAZ – a 7. számú melléklet finanszírozási cash flow-jának 23. sora.</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b)</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Alapítványoknak véglegesen átadott pénzeszközök</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a 26. sor általánosan a „Véglegesen átadott pénzeszköz”; az alapítványoknak átadott összeg nem önálló sor.</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c)</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A lízingtörlesztés összege</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HAMIS – a pénzügyi lízing törlesztése nem önálló sor; a 7. sz. melléklet a hitel és kölcsön törlesztését (25. sor) nevesíti.</w:t>
            </w:r>
          </w:p>
        </w:tc>
      </w:tr>
      <w:tr>
        <w:tc>
          <w:tcPr>
            <w:tcW w:type="dxa" w:w="900"/>
            <w:tcMar>
              <w:top w:type="dxa" w:w="50"/>
              <w:left w:type="dxa" w:w="80"/>
              <w:bottom w:type="dxa" w:w="50"/>
              <w:right w:type="dxa" w:w="80"/>
            </w:tcMar>
          </w:tcPr>
          <w:p>
            <w:pPr>
              <w:spacing w:after="0"/>
            </w:pPr>
            <w:r>
              <w:rPr>
                <w:rFonts w:ascii="Calibri" w:cs="Calibri" w:eastAsia="Calibri" w:hAnsi="Calibri"/>
                <w:sz w:val="17"/>
                <w:szCs w:val="17"/>
              </w:rPr>
              <w:t xml:space="preserve">d)</w:t>
            </w:r>
          </w:p>
        </w:tc>
        <w:tc>
          <w:tcPr>
            <w:tcW w:type="dxa" w:w="5200"/>
            <w:tcMar>
              <w:top w:type="dxa" w:w="50"/>
              <w:left w:type="dxa" w:w="80"/>
              <w:bottom w:type="dxa" w:w="50"/>
              <w:right w:type="dxa" w:w="80"/>
            </w:tcMar>
          </w:tcPr>
          <w:p>
            <w:pPr>
              <w:spacing w:after="0"/>
            </w:pPr>
            <w:r>
              <w:rPr>
                <w:rFonts w:ascii="Calibri" w:cs="Calibri" w:eastAsia="Calibri" w:hAnsi="Calibri"/>
                <w:sz w:val="17"/>
                <w:szCs w:val="17"/>
              </w:rPr>
              <w:t xml:space="preserve">Devizás pénzeszközök átértékelése</w:t>
            </w:r>
          </w:p>
        </w:tc>
        <w:tc>
          <w:tcPr>
            <w:tcW w:type="dxa" w:w="3250"/>
            <w:tcMar>
              <w:top w:type="dxa" w:w="50"/>
              <w:left w:type="dxa" w:w="80"/>
              <w:bottom w:type="dxa" w:w="50"/>
              <w:right w:type="dxa" w:w="80"/>
            </w:tcMar>
          </w:tcPr>
          <w:p>
            <w:pPr>
              <w:spacing w:after="0"/>
            </w:pPr>
            <w:r>
              <w:rPr>
                <w:rFonts w:ascii="Calibri" w:cs="Calibri" w:eastAsia="Calibri" w:hAnsi="Calibri"/>
                <w:sz w:val="17"/>
                <w:szCs w:val="17"/>
              </w:rPr>
              <w:t xml:space="preserve">IGAZ – a 27. sor, amely a IV. (pénzeszközök változása) és az V. (pénzeszközök mérleg szerinti változása) sor között áll.</w:t>
            </w:r>
          </w:p>
        </w:tc>
      </w:tr>
    </w:tbl>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Mindkét megjelölt válasz helyes, és a kérdés 2 pontot ér. A 7. számú melléklet szerkezetét (I. működési 1a–13., II. befektetési 14–18., III. finanszírozási 19–26., IV., 27., V.) 2026. szeptember 15-én szó szerint visszaolvastam a Nemzeti Jogszabálytárból.</w:t>
      </w:r>
    </w:p>
    <w:p>
      <w:pPr>
        <w:spacing w:after="120"/>
      </w:pPr>
    </w:p>
    <w:p>
      <w:pPr>
        <w:pStyle w:val="Heading2"/>
      </w:pPr>
      <w:r>
        <w:t xml:space="preserve">11. kérdés – A kiválással létrejött társaság beszámolójának formája (kulcs: c)</w:t>
      </w:r>
    </w:p>
    <w:p>
      <w:pPr>
        <w:spacing w:after="110"/>
      </w:pPr>
      <w:r>
        <w:rPr>
          <w:rFonts w:ascii="Calibri" w:cs="Calibri" w:eastAsia="Calibri" w:hAnsi="Calibri"/>
          <w:b/>
          <w:bCs/>
          <w:sz w:val="20"/>
          <w:szCs w:val="20"/>
        </w:rPr>
        <w:t xml:space="preserve">Jogszabály: </w:t>
      </w:r>
      <w:r>
        <w:rPr>
          <w:rFonts w:ascii="Calibri" w:cs="Calibri" w:eastAsia="Calibri" w:hAnsi="Calibri"/>
          <w:sz w:val="20"/>
          <w:szCs w:val="20"/>
        </w:rPr>
        <w:t xml:space="preserve">Szt. 9. § (5a): „Az (5) bekezdés szerint kell eljárni kiválás esetén a kiválással létrejövő gazdasági társaságnál is.” A hivatkozott 9. § (5) bekezdés a JOGELŐD NÉLKÜL ALAPÍTOTT vállalkozóra vonatkozik: ha a megelőző két üzleti év árbevétel- (mérlegfőösszeg-, létszám-) adatai hiányoznak vagy csak részben állnak rendelkezésre, a tárgyévi várható adatokat – és ha van, az első üzleti év éves szintre átszámított adatait – kell figyelembe venni az egyszerűsített éves beszámoló értékhatárainak vizsgálatához.</w:t>
      </w:r>
    </w:p>
    <w:p>
      <w:pPr>
        <w:spacing w:after="110"/>
      </w:pPr>
      <w:r>
        <w:rPr>
          <w:rFonts w:ascii="Calibri" w:cs="Calibri" w:eastAsia="Calibri" w:hAnsi="Calibri"/>
          <w:b/>
          <w:bCs/>
          <w:color w:val="2E7D32"/>
          <w:sz w:val="20"/>
          <w:szCs w:val="20"/>
        </w:rPr>
        <w:t xml:space="preserve">✔ Ellenőrizve: </w:t>
      </w:r>
      <w:r>
        <w:rPr>
          <w:rFonts w:ascii="Calibri" w:cs="Calibri" w:eastAsia="Calibri" w:hAnsi="Calibri"/>
          <w:sz w:val="20"/>
          <w:szCs w:val="20"/>
        </w:rPr>
        <w:t xml:space="preserve">A c) („A jogelőd nélkül alakult vállalkozásra vonatkozó előírások szerint”) a helyes válasz, mégpedig a Szt. 9. § (5a) bekezdésének szó szerinti visszautalása alapján. A kiválással létrejövő társaságnak saját múltbeli adatai nincsenek, ezért a jogelőd nélkül alapított vállalkozásra vonatkozó szabályok szerint kell megállapítania a beszámoló formáját. Az a) azért hamis, mert a jogelőd beszámolóformáját nem köteles követni; a b) azért, mert nem az üzleti terv, hanem a tárgyévi VÁRHATÓ adatok a mérvadók; a d) azért, mert kiválásnál nincs a kérdés értelmében vett „alapító vállalkozás”.</w:t>
      </w:r>
    </w:p>
    <w:p>
      <w:pPr>
        <w:pStyle w:val="Heading1"/>
        <w:pageBreakBefore/>
      </w:pPr>
      <w:r>
        <w:t xml:space="preserve">5. A megtalált hibák összefoglalása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700"/>
        <w:gridCol w:w="3500"/>
        <w:gridCol w:w="4150"/>
      </w:tblGrid>
      <w:tr>
        <w:trPr>
          <w:tblHeader/>
        </w:trPr>
        <w:tc>
          <w:tcPr>
            <w:tcW w:type="dxa" w:w="17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Hely</w:t>
            </w:r>
          </w:p>
        </w:tc>
        <w:tc>
          <w:tcPr>
            <w:tcW w:type="dxa" w:w="350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 kulcs / a feladatlap szerint</w:t>
            </w:r>
          </w:p>
        </w:tc>
        <w:tc>
          <w:tcPr>
            <w:tcW w:type="dxa" w:w="4150"/>
            <w:shd w:fill="DDEBF7" w:color="auto" w:val="clear"/>
            <w:tcMar>
              <w:top w:type="dxa" w:w="50"/>
              <w:left w:type="dxa" w:w="80"/>
              <w:bottom w:type="dxa" w:w="50"/>
              <w:right w:type="dxa" w:w="80"/>
            </w:tcMar>
          </w:tcPr>
          <w:p>
            <w:pPr>
              <w:spacing w:after="0"/>
            </w:pPr>
            <w:r>
              <w:rPr>
                <w:rFonts w:ascii="Calibri" w:cs="Calibri" w:eastAsia="Calibri" w:hAnsi="Calibri"/>
                <w:b/>
                <w:bCs/>
                <w:sz w:val="17"/>
                <w:szCs w:val="17"/>
              </w:rPr>
              <w:t xml:space="preserve">A helyes megoldás</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1. feladat, 2. esemény</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Igénybe vett szolgáltatások 400, Egyéb ráfordítások 30</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Igénybe vett szolgáltatások 430 (a le nem vonható áfa a szolgáltatás értékének része) – Szt. 78. § (1) és (3)</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1. feladat, 10. esemény</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A feladat szövege 1 200 000 eFt + áfa</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A kulcs következetesen 1 200 eFt nettó / 1 500 eFt bruttó összeggel számol – nagyságrendi elírás a feladatlapon</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1. feladat, 11c) fejszöveg</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„összevont árfolyamnyeresége: 250 eFt”</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350 eFt (150 + 200); a könyvelt tétel helyes</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1. feladat, 13. esemény</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A tőkeemelés tétele a 20X1. évi tételsorban</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20X1-ben nincs tétel; a könyvelés napja a cégbírósági bejegyzés napja, 20X2.01.15. – Szt. 35. § (4)</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3b) működésbiztonsági mutató</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„400 + (5 000 – … – 60)/3 450”</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Zárójelezési hiba; helyesen [400 + 2 100] / 3 450. Az eredmény (0,725) helyes</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3c) számlavázlat</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2. tétel 630 mFt, 11. tétel az STK elszámolási számlán</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A 2. tétel 720 mFt (a teljes közvetlen költség átvezetése); csak így zár mindkét T-számla</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4. feladat, 3. kérdés</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A b) és a d) válasz szövege azonos (100 M Ft)</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Elírás a feladatlapon; a helyes válasz c) –50 M Ft</w:t>
            </w:r>
          </w:p>
        </w:tc>
      </w:tr>
      <w:tr>
        <w:tc>
          <w:tcPr>
            <w:tcW w:type="dxa" w:w="1700"/>
            <w:tcMar>
              <w:top w:type="dxa" w:w="50"/>
              <w:left w:type="dxa" w:w="80"/>
              <w:bottom w:type="dxa" w:w="50"/>
              <w:right w:type="dxa" w:w="80"/>
            </w:tcMar>
          </w:tcPr>
          <w:p>
            <w:pPr>
              <w:spacing w:after="0"/>
            </w:pPr>
            <w:r>
              <w:rPr>
                <w:rFonts w:ascii="Calibri" w:cs="Calibri" w:eastAsia="Calibri" w:hAnsi="Calibri"/>
                <w:sz w:val="17"/>
                <w:szCs w:val="17"/>
              </w:rPr>
              <w:t xml:space="preserve">4. feladat, 5. kérdés</w:t>
            </w:r>
          </w:p>
        </w:tc>
        <w:tc>
          <w:tcPr>
            <w:tcW w:type="dxa" w:w="3500"/>
            <w:tcMar>
              <w:top w:type="dxa" w:w="50"/>
              <w:left w:type="dxa" w:w="80"/>
              <w:bottom w:type="dxa" w:w="50"/>
              <w:right w:type="dxa" w:w="80"/>
            </w:tcMar>
          </w:tcPr>
          <w:p>
            <w:pPr>
              <w:spacing w:after="0"/>
            </w:pPr>
            <w:r>
              <w:rPr>
                <w:rFonts w:ascii="Calibri" w:cs="Calibri" w:eastAsia="Calibri" w:hAnsi="Calibri"/>
                <w:sz w:val="17"/>
                <w:szCs w:val="17"/>
              </w:rPr>
              <w:t xml:space="preserve">a) 3 000 eFt</w:t>
            </w:r>
          </w:p>
        </w:tc>
        <w:tc>
          <w:tcPr>
            <w:tcW w:type="dxa" w:w="4150"/>
            <w:tcMar>
              <w:top w:type="dxa" w:w="50"/>
              <w:left w:type="dxa" w:w="80"/>
              <w:bottom w:type="dxa" w:w="50"/>
              <w:right w:type="dxa" w:w="80"/>
            </w:tcMar>
          </w:tcPr>
          <w:p>
            <w:pPr>
              <w:spacing w:after="0"/>
            </w:pPr>
            <w:r>
              <w:rPr>
                <w:rFonts w:ascii="Calibri" w:cs="Calibri" w:eastAsia="Calibri" w:hAnsi="Calibri"/>
                <w:sz w:val="17"/>
                <w:szCs w:val="17"/>
              </w:rPr>
              <w:t xml:space="preserve">e) Nincs jó válasz – a helyes érték 1 000 eFt; a kulcs a jegyzett, de be nem fizetett tőkéből csak az apportot vonja le – Szt. 35. § (2), 39. § (3)–(3a)</w:t>
            </w:r>
          </w:p>
        </w:tc>
      </w:tr>
    </w:tbl>
    <w:p>
      <w:pPr>
        <w:pStyle w:val="Heading1"/>
        <w:pageBreakBefore/>
      </w:pPr>
      <w:r>
        <w:t xml:space="preserve">6. Minőségbiztosítás</w:t>
      </w:r>
    </w:p>
    <w:p>
      <w:pPr>
        <w:pStyle w:val="Heading2"/>
      </w:pPr>
      <w:r>
        <w:t xml:space="preserve">6.1. Jogszabályi ellenőrzés</w:t>
      </w:r>
    </w:p>
    <w:p>
      <w:pPr>
        <w:spacing w:after="110"/>
      </w:pPr>
      <w:r>
        <w:rPr>
          <w:rFonts w:ascii="Calibri" w:cs="Calibri" w:eastAsia="Calibri" w:hAnsi="Calibri"/>
          <w:sz w:val="20"/>
          <w:szCs w:val="20"/>
        </w:rPr>
        <w:t xml:space="preserve">A dokumentumban hivatkozott valamennyi jogszabályhelyet a Nemzeti Jogszabálytár hatályos, konszolidált szövegében olvastam vissza 2026. szeptember 15-én. A számvitelről szóló 2000. évi C. törvényből (hatályos állapot: 2026. 02. 28. –): 3. § (4) 1., 3. § (7) 1., 4. § (2)–(5), 9. § (5a), 27. § (4a), 28. § (2), 32. § (1) és (8), 33. § (1), 35. § (2)–(4), (8) és (10), 36. § (1)–(2), 37. § (2), 38. § (3)–(6) és (11), 39. § (1) és (3)–(3a), 41. § (1), 42. § (5), 44. § (7), 45. § (1)–(2), 47. § (3)–(4), 48. § (1)–(2), 51. § (1), 53. § (1)–(2), 60. § (1)–(4), 77. § (2) és (4), 78. § (1)–(6), 79. § (3)–(4), 84. § (3), 88. § (7)–(8), 90. § (1), 96. § (1)–(5), 139. § (2), valamint a 7. számú melléklet. Az általános forgalmi adóról szóló 2007. évi CXXVII. törvényből (hatályos állapot: 2026. 09. 15. – 2026. 12. 31.): 11. § (2), 68. §, 80. § (1)–(2), 124. § (2)–(3), 125/A. §, 142. § (1) b).</w:t>
      </w:r>
    </w:p>
    <w:p>
      <w:pPr>
        <w:pStyle w:val="Heading2"/>
      </w:pPr>
      <w:r>
        <w:t xml:space="preserve">6.2. Számviteli ellenőrzés</w:t>
      </w:r>
    </w:p>
    <w:p>
      <w:pPr>
        <w:pStyle w:val="ListParagraph"/>
        <w:numPr>
          <w:ilvl w:val="0"/>
          <w:numId w:val="1"/>
        </w:numPr>
        <w:spacing w:after="70"/>
      </w:pPr>
      <w:r>
        <w:rPr>
          <w:rFonts w:ascii="Calibri" w:cs="Calibri" w:eastAsia="Calibri" w:hAnsi="Calibri"/>
          <w:sz w:val="20"/>
          <w:szCs w:val="20"/>
        </w:rPr>
        <w:t xml:space="preserve">Az 1. feladat minden tétele kétoldalúan egyenlegbe került; az 1. esemény bruttó érték kivezetése maradéktalanul zár (2 300 000 = 220 000 + 2 000 000 + 80 000).</w:t>
      </w:r>
    </w:p>
    <w:p>
      <w:pPr>
        <w:pStyle w:val="ListParagraph"/>
        <w:numPr>
          <w:ilvl w:val="0"/>
          <w:numId w:val="1"/>
        </w:numPr>
        <w:spacing w:after="70"/>
      </w:pPr>
      <w:r>
        <w:rPr>
          <w:rFonts w:ascii="Calibri" w:cs="Calibri" w:eastAsia="Calibri" w:hAnsi="Calibri"/>
          <w:sz w:val="20"/>
          <w:szCs w:val="20"/>
        </w:rPr>
        <w:t xml:space="preserve">A 11. esemény devizás levezetése a követelés euróban kifejezett teljes (áfával növelt) összegére, 50 e€-ra épül – csak így adódik a kulcs 20 e€-s fordulónapi állománya.</w:t>
      </w:r>
    </w:p>
    <w:p>
      <w:pPr>
        <w:pStyle w:val="ListParagraph"/>
        <w:numPr>
          <w:ilvl w:val="0"/>
          <w:numId w:val="1"/>
        </w:numPr>
        <w:spacing w:after="70"/>
      </w:pPr>
      <w:r>
        <w:rPr>
          <w:rFonts w:ascii="Calibri" w:cs="Calibri" w:eastAsia="Calibri" w:hAnsi="Calibri"/>
          <w:sz w:val="20"/>
          <w:szCs w:val="20"/>
        </w:rPr>
        <w:t xml:space="preserve">A 3c) feladat minden T-számláját újraszámoltam; kizárólag a Késztermék közvetlen költségei és az STK elszámolási számla nem zár, mégpedig pontosan ±90 mFt-tal, ami egyértelműen azonosítja a hibát.</w:t>
      </w:r>
    </w:p>
    <w:p>
      <w:pPr>
        <w:pStyle w:val="ListParagraph"/>
        <w:numPr>
          <w:ilvl w:val="0"/>
          <w:numId w:val="1"/>
        </w:numPr>
        <w:spacing w:after="70"/>
      </w:pPr>
      <w:r>
        <w:rPr>
          <w:rFonts w:ascii="Calibri" w:cs="Calibri" w:eastAsia="Calibri" w:hAnsi="Calibri"/>
          <w:sz w:val="20"/>
          <w:szCs w:val="20"/>
        </w:rPr>
        <w:t xml:space="preserve">A teszt 5. kérdésének eredményét két, egymástól független úton is levezettem: a Szt. 39. § (3) bekezdése szerinti saját tőke teszttel és a saját tőke elemenkénti felépítésével – mindkettő 1 000 eFt-ot ad.</w:t>
      </w:r>
    </w:p>
    <w:p>
      <w:pPr>
        <w:pStyle w:val="Heading2"/>
      </w:pPr>
      <w:r>
        <w:t xml:space="preserve">6.3. Vizsgahasználhatósági ellenőrzés</w:t>
      </w:r>
    </w:p>
    <w:p>
      <w:pPr>
        <w:pStyle w:val="ListParagraph"/>
        <w:numPr>
          <w:ilvl w:val="0"/>
          <w:numId w:val="1"/>
        </w:numPr>
        <w:spacing w:after="70"/>
      </w:pPr>
      <w:r>
        <w:rPr>
          <w:rFonts w:ascii="Calibri" w:cs="Calibri" w:eastAsia="Calibri" w:hAnsi="Calibri"/>
          <w:sz w:val="20"/>
          <w:szCs w:val="20"/>
        </w:rPr>
        <w:t xml:space="preserve">A pontozás szempontjából a 46 tételes 1. feladatban a 13. esemény a kulcs szerint 1 pontot ér; ha valaki a Szt. 35. § (4) bekezdése alapján nem könyvel 20X1-ben, azt indokolással érdemes jelölni a dolgozatban.</w:t>
      </w:r>
    </w:p>
    <w:p>
      <w:pPr>
        <w:pStyle w:val="ListParagraph"/>
        <w:numPr>
          <w:ilvl w:val="0"/>
          <w:numId w:val="1"/>
        </w:numPr>
        <w:spacing w:after="70"/>
      </w:pPr>
      <w:r>
        <w:rPr>
          <w:rFonts w:ascii="Calibri" w:cs="Calibri" w:eastAsia="Calibri" w:hAnsi="Calibri"/>
          <w:sz w:val="20"/>
          <w:szCs w:val="20"/>
        </w:rPr>
        <w:t xml:space="preserve">A 3c) feladatnál a feladatlap előnyomott „11. 90” tétele kötelező kiindulópont, ezért a 2. tételre 720 mFt-ot kell írni.</w:t>
      </w:r>
    </w:p>
    <w:p>
      <w:pPr>
        <w:pStyle w:val="ListParagraph"/>
        <w:numPr>
          <w:ilvl w:val="0"/>
          <w:numId w:val="1"/>
        </w:numPr>
        <w:spacing w:after="70"/>
      </w:pPr>
      <w:r>
        <w:rPr>
          <w:rFonts w:ascii="Calibri" w:cs="Calibri" w:eastAsia="Calibri" w:hAnsi="Calibri"/>
          <w:sz w:val="20"/>
          <w:szCs w:val="20"/>
        </w:rPr>
        <w:t xml:space="preserve">A teszt 5. kérdésénél az e) válasz megjelölése a törvényileg helyes; a kulcs szerinti a) válasz ugyanakkor pontot ér. Vizsgaszituációban célszerű az e) mellett a levezetést is odaírni.</w:t>
      </w:r>
    </w:p>
    <w:p>
      <w:pPr>
        <w:spacing w:after="120"/>
      </w:pPr>
    </w:p>
    <w:p>
      <w:pPr>
        <w:pStyle w:val="Heading2"/>
      </w:pPr>
      <w:r>
        <w:t xml:space="preserve">6.4. Amit nem tudtam egyértelműen eldönteni</w:t>
      </w:r>
    </w:p>
    <w:p>
      <w:pPr>
        <w:pStyle w:val="ListParagraph"/>
        <w:numPr>
          <w:ilvl w:val="0"/>
          <w:numId w:val="1"/>
        </w:numPr>
        <w:spacing w:after="70"/>
      </w:pPr>
      <w:r>
        <w:rPr>
          <w:rFonts w:ascii="Calibri" w:cs="Calibri" w:eastAsia="Calibri" w:hAnsi="Calibri"/>
          <w:sz w:val="20"/>
          <w:szCs w:val="20"/>
        </w:rPr>
        <w:t xml:space="preserve">A 12c) tétel áfaalapja: az Áfa tv. 68. §-a az előállítási értékről szól, a kulcs viszont csak a saját teljesítményre (260 000 eFt) vetíti a 25%-ot. A kulcs megoldása a kétszeres adóztatás elkerülése miatt védhető, de a törvény szó szerinti szövegéből nem következik egyértelműen.</w:t>
      </w:r>
    </w:p>
    <w:p>
      <w:pPr>
        <w:pStyle w:val="ListParagraph"/>
        <w:numPr>
          <w:ilvl w:val="0"/>
          <w:numId w:val="1"/>
        </w:numPr>
        <w:spacing w:after="70"/>
      </w:pPr>
      <w:r>
        <w:rPr>
          <w:rFonts w:ascii="Calibri" w:cs="Calibri" w:eastAsia="Calibri" w:hAnsi="Calibri"/>
          <w:sz w:val="20"/>
          <w:szCs w:val="20"/>
        </w:rPr>
        <w:t xml:space="preserve">A teszt 7. kérdésének d) válasza pontatlanul fogalmaz („költségek, ráfordítások aktív időbeli elhatárolása”), ezért a cáfolat részben értelmezési kérdés. A kulcs b) válasza viszont a Szt. 88. § (8) b) pontjának szó szerinti tartalma.</w:t>
      </w:r>
    </w:p>
    <w:p>
      <w:pPr>
        <w:pStyle w:val="ListParagraph"/>
        <w:numPr>
          <w:ilvl w:val="0"/>
          <w:numId w:val="1"/>
        </w:numPr>
        <w:spacing w:after="70"/>
      </w:pPr>
      <w:r>
        <w:rPr>
          <w:rFonts w:ascii="Calibri" w:cs="Calibri" w:eastAsia="Calibri" w:hAnsi="Calibri"/>
          <w:sz w:val="20"/>
          <w:szCs w:val="20"/>
        </w:rPr>
        <w:t xml:space="preserve">A 11. esemény áfaalapjának árfolyama: a feladat egységesen MNB-árfolyamot használ, az Áfa tv. 80. § (2) bekezdése szerinti főszabály viszont a belföldi hitelintézet deviza eladási árfolyama lenne. A feladat kifejezett kikötése miatt ezt nem tekintem hibának.</w:t>
      </w:r>
    </w:p>
    <w:p>
      <w:pPr>
        <w:pStyle w:val="ListParagraph"/>
        <w:numPr>
          <w:ilvl w:val="0"/>
          <w:numId w:val="1"/>
        </w:numPr>
        <w:spacing w:after="70"/>
      </w:pPr>
      <w:r>
        <w:rPr>
          <w:rFonts w:ascii="Calibri" w:cs="Calibri" w:eastAsia="Calibri" w:hAnsi="Calibri"/>
          <w:sz w:val="20"/>
          <w:szCs w:val="20"/>
        </w:rPr>
        <w:t xml:space="preserve">A 13. eseménynél nem állapítható meg teljes bizonyossággal, hogy a kulcs a tételt 20X1-re vagy 20X2-re szánta, mert dátumot nem tüntet fel. A Szt. 35. § (4) bekezdése alapján a helyes időpont 20X2.01.15.</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2F7FB" w:color="auto" w:val="clear"/>
            <w:tcMar>
              <w:top w:type="dxa" w:w="120"/>
              <w:left w:type="dxa" w:w="160"/>
              <w:bottom w:type="dxa" w:w="120"/>
              <w:right w:type="dxa" w:w="160"/>
            </w:tcMar>
          </w:tcPr>
          <w:p>
            <w:pPr>
              <w:spacing w:after="60"/>
            </w:pPr>
            <w:r>
              <w:rPr>
                <w:rFonts w:ascii="Calibri" w:cs="Calibri" w:eastAsia="Calibri" w:hAnsi="Calibri"/>
                <w:b/>
                <w:bCs/>
                <w:color w:val="1F4E79"/>
                <w:sz w:val="20"/>
                <w:szCs w:val="20"/>
              </w:rPr>
              <w:t xml:space="preserve">Forrás</w:t>
            </w:r>
          </w:p>
          <w:p>
            <w:pPr>
              <w:spacing w:after="50"/>
            </w:pPr>
            <w:r>
              <w:rPr>
                <w:rFonts w:ascii="Calibri" w:cs="Calibri" w:eastAsia="Calibri" w:hAnsi="Calibri"/>
                <w:sz w:val="19"/>
                <w:szCs w:val="19"/>
              </w:rPr>
              <w:t xml:space="preserve">Nemzeti Jogszabálytár – 2000. évi C. törvény a számvitelről (hatályos állapot: 2026. 02. 28-tól)</w:t>
            </w:r>
          </w:p>
          <w:p>
            <w:pPr>
              <w:spacing w:after="50"/>
            </w:pPr>
            <w:r>
              <w:rPr>
                <w:rFonts w:ascii="Calibri" w:cs="Calibri" w:eastAsia="Calibri" w:hAnsi="Calibri"/>
                <w:sz w:val="19"/>
                <w:szCs w:val="19"/>
              </w:rPr>
              <w:t xml:space="preserve">Nemzeti Jogszabálytár – 2007. évi CXXVII. törvény az általános forgalmi adóról (hatályos állapot: 2026. 09. 15-től)</w:t>
            </w:r>
          </w:p>
          <w:p>
            <w:pPr>
              <w:spacing w:after="50"/>
            </w:pPr>
            <w:r>
              <w:rPr>
                <w:rFonts w:ascii="Calibri" w:cs="Calibri" w:eastAsia="Calibri" w:hAnsi="Calibri"/>
                <w:sz w:val="19"/>
                <w:szCs w:val="19"/>
              </w:rPr>
              <w:t xml:space="preserve">MKVK vizsgafeladat és hivatalos megoldás: „Számvitel magyar szabályozása vizsgafeladat – 2023. október 4.” (9 oldal)</w:t>
            </w:r>
          </w:p>
        </w:tc>
      </w:tr>
    </w:tbl>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MKVK – A számvitel magyar szabályozása – 2023. október 4. |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pPr>
        <w:spacing w:after="11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80" w:before="320"/>
    </w:pPr>
    <w:rPr>
      <w:rFonts w:ascii="Calibri" w:cs="Calibri" w:eastAsia="Calibri" w:hAnsi="Calibri"/>
      <w:b/>
      <w:bCs/>
      <w:color w:val="1F4E79"/>
      <w:sz w:val="30"/>
      <w:szCs w:val="30"/>
    </w:rPr>
  </w:style>
  <w:style w:type="paragraph" w:styleId="Heading2">
    <w:name w:val="Heading 2"/>
    <w:basedOn w:val="Normal"/>
    <w:next w:val="Normal"/>
    <w:qFormat/>
    <w:pPr>
      <w:spacing w:after="130" w:before="260"/>
    </w:pPr>
    <w:rPr>
      <w:rFonts w:ascii="Calibri" w:cs="Calibri" w:eastAsia="Calibri" w:hAnsi="Calibri"/>
      <w:b/>
      <w:bCs/>
      <w:color w:val="2E74B5"/>
      <w:sz w:val="25"/>
      <w:szCs w:val="25"/>
    </w:rPr>
  </w:style>
  <w:style w:type="paragraph" w:styleId="Heading3">
    <w:name w:val="Heading 3"/>
    <w:basedOn w:val="Normal"/>
    <w:next w:val="Normal"/>
    <w:qFormat/>
    <w:pPr>
      <w:spacing w:after="110" w:before="200"/>
    </w:pPr>
    <w:rPr>
      <w:rFonts w:ascii="Calibri" w:cs="Calibri" w:eastAsia="Calibri" w:hAnsi="Calibri"/>
      <w:b/>
      <w:bCs/>
      <w:color w:val="44546A"/>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MKVK Magyar számvitel – 2023.10.04. vizsgasor ellenőrzött megoldása</dc:title>
  <dc:creator>Claude (Cowork)</dc:creator>
  <cp:lastModifiedBy>Un-named</cp:lastModifiedBy>
  <cp:revision>1</cp:revision>
  <dcterms:created xsi:type="dcterms:W3CDTF">2026-09-28T00:20:45.417Z</dcterms:created>
  <dcterms:modified xsi:type="dcterms:W3CDTF">2026-09-28T00:20:45.417Z</dcterms:modified>
</cp:coreProperties>
</file>

<file path=docProps/custom.xml><?xml version="1.0" encoding="utf-8"?>
<Properties xmlns="http://schemas.openxmlformats.org/officeDocument/2006/custom-properties" xmlns:vt="http://schemas.openxmlformats.org/officeDocument/2006/docPropsVTypes"/>
</file>